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UNDER SECTION 13 OR 15(d) OF THE SECURITIES EXCHANGE ACT OF 1934</w:t>
      </w:r>
    </w:p>
    <w:p>
      <w:pPr>
        <w:spacing w:after="0" w:line="191"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fiscal year ended August 31, 2008</w:t>
      </w:r>
    </w:p>
    <w:p>
      <w:pPr>
        <w:spacing w:after="0" w:line="216"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THE SECURITIES EXCHANGE ACT OF 1934</w:t>
      </w:r>
    </w:p>
    <w:p>
      <w:pPr>
        <w:spacing w:after="0" w:line="215" w:lineRule="exact"/>
        <w:rPr>
          <w:sz w:val="24"/>
          <w:szCs w:val="24"/>
          <w:color w:val="auto"/>
        </w:rPr>
      </w:pPr>
    </w:p>
    <w:p>
      <w:pPr>
        <w:ind w:left="2860"/>
        <w:spacing w:after="0"/>
        <w:tabs>
          <w:tab w:leader="none" w:pos="6700" w:val="left"/>
          <w:tab w:leader="none" w:pos="8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3"/>
              </w:rPr>
              <w:t>Delaware</w:t>
            </w:r>
          </w:p>
        </w:tc>
        <w:tc>
          <w:tcPr>
            <w:tcW w:w="6360" w:type="dxa"/>
            <w:vAlign w:val="bottom"/>
            <w:gridSpan w:val="3"/>
          </w:tcPr>
          <w:p>
            <w:pPr>
              <w:jc w:val="right"/>
              <w:ind w:right="2274"/>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1"/>
              </w:rPr>
              <w:t>4201 Woodland Road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16"/>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P.O. Box 69</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20"/>
        </w:trPr>
        <w:tc>
          <w:tcPr>
            <w:tcW w:w="5060" w:type="dxa"/>
            <w:vAlign w:val="bottom"/>
          </w:tcPr>
          <w:p>
            <w:pPr>
              <w:jc w:val="center"/>
              <w:ind w:left="472"/>
              <w:spacing w:after="0"/>
              <w:rPr>
                <w:sz w:val="20"/>
                <w:szCs w:val="20"/>
                <w:color w:val="auto"/>
              </w:rPr>
            </w:pPr>
            <w:r>
              <w:rPr>
                <w:rFonts w:ascii="Arial" w:cs="Arial" w:eastAsia="Arial" w:hAnsi="Arial"/>
                <w:sz w:val="18"/>
                <w:szCs w:val="18"/>
                <w:b w:val="1"/>
                <w:bCs w:val="1"/>
                <w:color w:val="auto"/>
                <w:w w:val="90"/>
              </w:rPr>
              <w:t>Circle Pines, Minnesota</w:t>
            </w:r>
          </w:p>
        </w:tc>
        <w:tc>
          <w:tcPr>
            <w:tcW w:w="6360" w:type="dxa"/>
            <w:vAlign w:val="bottom"/>
            <w:gridSpan w:val="3"/>
          </w:tcPr>
          <w:p>
            <w:pPr>
              <w:jc w:val="right"/>
              <w:ind w:right="2494"/>
              <w:spacing w:after="0"/>
              <w:rPr>
                <w:sz w:val="20"/>
                <w:szCs w:val="20"/>
                <w:color w:val="auto"/>
              </w:rPr>
            </w:pPr>
            <w:r>
              <w:rPr>
                <w:rFonts w:ascii="Arial" w:cs="Arial" w:eastAsia="Arial" w:hAnsi="Arial"/>
                <w:sz w:val="18"/>
                <w:szCs w:val="18"/>
                <w:b w:val="1"/>
                <w:bCs w:val="1"/>
                <w:color w:val="auto"/>
              </w:rPr>
              <w:t>55014</w:t>
            </w:r>
          </w:p>
        </w:tc>
      </w:tr>
      <w:tr>
        <w:trPr>
          <w:trHeight w:val="230"/>
        </w:trPr>
        <w:tc>
          <w:tcPr>
            <w:tcW w:w="5060" w:type="dxa"/>
            <w:vAlign w:val="bottom"/>
          </w:tcPr>
          <w:p>
            <w:pPr>
              <w:jc w:val="center"/>
              <w:ind w:left="472"/>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060" w:type="dxa"/>
            <w:vAlign w:val="bottom"/>
          </w:tcPr>
          <w:p>
            <w:pPr>
              <w:spacing w:after="0"/>
              <w:rPr>
                <w:sz w:val="24"/>
                <w:szCs w:val="24"/>
                <w:color w:val="auto"/>
              </w:rPr>
            </w:pPr>
          </w:p>
        </w:tc>
        <w:tc>
          <w:tcPr>
            <w:tcW w:w="6360" w:type="dxa"/>
            <w:vAlign w:val="bottom"/>
            <w:gridSpan w:val="3"/>
          </w:tcPr>
          <w:p>
            <w:pPr>
              <w:jc w:val="center"/>
              <w:ind w:right="4954"/>
              <w:spacing w:after="0"/>
              <w:rPr>
                <w:sz w:val="20"/>
                <w:szCs w:val="20"/>
                <w:color w:val="auto"/>
              </w:rPr>
            </w:pPr>
            <w:r>
              <w:rPr>
                <w:rFonts w:ascii="Arial" w:cs="Arial" w:eastAsia="Arial" w:hAnsi="Arial"/>
                <w:sz w:val="18"/>
                <w:szCs w:val="18"/>
                <w:b w:val="1"/>
                <w:bCs w:val="1"/>
                <w:color w:val="auto"/>
                <w:w w:val="90"/>
              </w:rPr>
              <w:t>(763) 225-6600</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365"/>
        </w:trPr>
        <w:tc>
          <w:tcPr>
            <w:tcW w:w="506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5060" w:type="dxa"/>
            <w:vAlign w:val="bottom"/>
          </w:tcPr>
          <w:p>
            <w:pPr>
              <w:jc w:val="center"/>
              <w:ind w:left="472"/>
              <w:spacing w:after="0" w:line="191" w:lineRule="exact"/>
              <w:rPr>
                <w:sz w:val="20"/>
                <w:szCs w:val="20"/>
                <w:color w:val="auto"/>
              </w:rPr>
            </w:pPr>
            <w:r>
              <w:rPr>
                <w:rFonts w:ascii="Arial" w:cs="Arial" w:eastAsia="Arial" w:hAnsi="Arial"/>
                <w:sz w:val="18"/>
                <w:szCs w:val="18"/>
                <w:b w:val="1"/>
                <w:bCs w:val="1"/>
                <w:color w:val="auto"/>
                <w:w w:val="90"/>
              </w:rPr>
              <w:t>Common Stock, par value $0.02 per share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7"/>
              </w:rPr>
              <w:t>(NASDAQ Global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2020" w:space="720"/>
            <w:col w:w="1400" w:space="720"/>
            <w:col w:w="3480" w:space="720"/>
            <w:col w:w="2360"/>
          </w:cols>
          <w:pgMar w:left="240" w:top="233"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o NO x</w:t>
      </w:r>
    </w:p>
    <w:p>
      <w:pPr>
        <w:spacing w:after="0" w:line="22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29, 2008 (the last business day of the registrant’s second fiscal quarter) as reported by the American Stock Exchange on that date was $19,889,711.</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November 24, 2008, 3,755,591 shares of common stock of the registrant were outstanding.</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2009 Annual Meeting of Stockholders to be held January 29, 2009.</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Transitional Small Business Disclosure Format (check one): 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gridSpan w:val="7"/>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r>
      <w:tr>
        <w:trPr>
          <w:trHeight w:val="392"/>
        </w:trPr>
        <w:tc>
          <w:tcPr>
            <w:tcW w:w="15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20" w:type="dxa"/>
            <w:vAlign w:val="bottom"/>
            <w:gridSpan w:val="3"/>
          </w:tcPr>
          <w:p>
            <w:pPr>
              <w:spacing w:after="0"/>
              <w:rPr>
                <w:sz w:val="24"/>
                <w:szCs w:val="24"/>
                <w:color w:val="auto"/>
              </w:rPr>
            </w:pPr>
          </w:p>
        </w:tc>
        <w:tc>
          <w:tcPr>
            <w:tcW w:w="8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8460" w:type="dxa"/>
            <w:vAlign w:val="bottom"/>
            <w:gridSpan w:val="3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Overview</w:t>
              </w:r>
            </w:hyperlink>
          </w:p>
        </w:tc>
        <w:tc>
          <w:tcPr>
            <w:tcW w:w="8600" w:type="dxa"/>
            <w:vAlign w:val="bottom"/>
            <w:gridSpan w:val="3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Corporate Joint Ventures and Holding Companies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Products</w:t>
              </w:r>
            </w:hyperlink>
          </w:p>
        </w:tc>
        <w:tc>
          <w:tcPr>
            <w:tcW w:w="2940" w:type="dxa"/>
            <w:vAlign w:val="bottom"/>
            <w:tcBorders>
              <w:top w:val="single" w:sz="8" w:color="0000EE"/>
            </w:tcBorders>
            <w:gridSpan w:val="30"/>
          </w:tcPr>
          <w:p>
            <w:pPr>
              <w:spacing w:after="0"/>
              <w:rPr>
                <w:sz w:val="17"/>
                <w:szCs w:val="17"/>
                <w:color w:val="auto"/>
              </w:rPr>
            </w:pPr>
          </w:p>
        </w:tc>
        <w:tc>
          <w:tcPr>
            <w:tcW w:w="574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Emerging Businesses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Manufacturing</w:t>
              </w:r>
            </w:hyperlink>
          </w:p>
        </w:tc>
        <w:tc>
          <w:tcPr>
            <w:tcW w:w="460" w:type="dxa"/>
            <w:vAlign w:val="bottom"/>
            <w:tcBorders>
              <w:top w:val="single" w:sz="8" w:color="0000EE"/>
            </w:tcBorders>
            <w:gridSpan w:val="5"/>
          </w:tcPr>
          <w:p>
            <w:pPr>
              <w:spacing w:after="0"/>
              <w:rPr>
                <w:sz w:val="17"/>
                <w:szCs w:val="17"/>
                <w:color w:val="auto"/>
              </w:rPr>
            </w:pPr>
          </w:p>
        </w:tc>
        <w:tc>
          <w:tcPr>
            <w:tcW w:w="7780" w:type="dxa"/>
            <w:vAlign w:val="bottom"/>
            <w:gridSpan w:val="2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Sales and Marketing</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Competition</w:t>
              </w:r>
            </w:hyperlink>
          </w:p>
        </w:tc>
        <w:tc>
          <w:tcPr>
            <w:tcW w:w="560" w:type="dxa"/>
            <w:vAlign w:val="bottom"/>
            <w:tcBorders>
              <w:top w:val="single" w:sz="8" w:color="0000EE"/>
            </w:tcBorders>
            <w:gridSpan w:val="6"/>
          </w:tcPr>
          <w:p>
            <w:pPr>
              <w:spacing w:after="0"/>
              <w:rPr>
                <w:sz w:val="17"/>
                <w:szCs w:val="17"/>
                <w:color w:val="auto"/>
              </w:rPr>
            </w:pPr>
          </w:p>
        </w:tc>
        <w:tc>
          <w:tcPr>
            <w:tcW w:w="7840" w:type="dxa"/>
            <w:vAlign w:val="bottom"/>
            <w:gridSpan w:val="2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Customers</w:t>
              </w:r>
            </w:hyperlink>
          </w:p>
        </w:tc>
        <w:tc>
          <w:tcPr>
            <w:tcW w:w="8540" w:type="dxa"/>
            <w:vAlign w:val="bottom"/>
            <w:gridSpan w:val="3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Research and Development</w:t>
              </w:r>
            </w:hyperlink>
          </w:p>
        </w:tc>
        <w:tc>
          <w:tcPr>
            <w:tcW w:w="734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Intellectual Property Rights</w:t>
              </w:r>
            </w:hyperlink>
          </w:p>
        </w:tc>
        <w:tc>
          <w:tcPr>
            <w:tcW w:w="732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Backlog</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Availability of Raw Materials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Employees</w:t>
              </w:r>
            </w:hyperlink>
          </w:p>
        </w:tc>
        <w:tc>
          <w:tcPr>
            <w:tcW w:w="718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Available Information</w:t>
              </w:r>
            </w:hyperlink>
          </w:p>
        </w:tc>
        <w:tc>
          <w:tcPr>
            <w:tcW w:w="7720" w:type="dxa"/>
            <w:vAlign w:val="bottom"/>
            <w:gridSpan w:val="1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Forward-Looking Statements</w:t>
              </w:r>
            </w:hyperlink>
          </w:p>
        </w:tc>
        <w:tc>
          <w:tcPr>
            <w:tcW w:w="720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180" w:type="dxa"/>
            <w:vAlign w:val="bottom"/>
          </w:tcPr>
          <w:p>
            <w:pPr>
              <w:spacing w:after="0"/>
              <w:rPr>
                <w:sz w:val="24"/>
                <w:szCs w:val="24"/>
                <w:color w:val="auto"/>
              </w:rPr>
            </w:pPr>
          </w:p>
        </w:tc>
        <w:tc>
          <w:tcPr>
            <w:tcW w:w="660" w:type="dxa"/>
            <w:vAlign w:val="bottom"/>
            <w:gridSpan w:val="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Item 1A.</w:t>
              </w:r>
            </w:hyperlink>
          </w:p>
        </w:tc>
        <w:tc>
          <w:tcPr>
            <w:tcW w:w="680" w:type="dxa"/>
            <w:vAlign w:val="bottom"/>
            <w:gridSpan w:val="2"/>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Item 1B.</w:t>
              </w:r>
            </w:hyperlink>
          </w:p>
        </w:tc>
        <w:tc>
          <w:tcPr>
            <w:tcW w:w="680" w:type="dxa"/>
            <w:vAlign w:val="bottom"/>
            <w:gridSpan w:val="2"/>
          </w:tcPr>
          <w:p>
            <w:pPr>
              <w:spacing w:after="0"/>
              <w:rPr>
                <w:sz w:val="24"/>
                <w:szCs w:val="24"/>
                <w:color w:val="auto"/>
              </w:rPr>
            </w:pPr>
          </w:p>
        </w:tc>
        <w:tc>
          <w:tcPr>
            <w:tcW w:w="282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UNRESOLVED STAFF COMMENTS</w:t>
              </w:r>
            </w:hyperlink>
          </w:p>
        </w:tc>
        <w:tc>
          <w:tcPr>
            <w:tcW w:w="65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820" w:type="dxa"/>
            <w:vAlign w:val="bottom"/>
            <w:gridSpan w:val="3"/>
          </w:tcPr>
          <w:p>
            <w:pPr>
              <w:spacing w:after="0"/>
              <w:rPr>
                <w:sz w:val="24"/>
                <w:szCs w:val="24"/>
                <w:color w:val="auto"/>
              </w:rPr>
            </w:pPr>
          </w:p>
        </w:tc>
        <w:tc>
          <w:tcPr>
            <w:tcW w:w="1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PROPERTIES</w:t>
              </w:r>
            </w:hyperlink>
          </w:p>
        </w:tc>
        <w:tc>
          <w:tcPr>
            <w:tcW w:w="8260" w:type="dxa"/>
            <w:vAlign w:val="bottom"/>
            <w:gridSpan w:val="2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3.</w:t>
              </w:r>
            </w:hyperlink>
          </w:p>
        </w:tc>
        <w:tc>
          <w:tcPr>
            <w:tcW w:w="820" w:type="dxa"/>
            <w:vAlign w:val="bottom"/>
            <w:gridSpan w:val="3"/>
          </w:tcPr>
          <w:p>
            <w:pPr>
              <w:spacing w:after="0"/>
              <w:rPr>
                <w:sz w:val="24"/>
                <w:szCs w:val="24"/>
                <w:color w:val="auto"/>
              </w:rPr>
            </w:pPr>
          </w:p>
        </w:tc>
        <w:tc>
          <w:tcPr>
            <w:tcW w:w="188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LEGAL PROCEEDINGS</w:t>
              </w:r>
            </w:hyperlink>
          </w:p>
        </w:tc>
        <w:tc>
          <w:tcPr>
            <w:tcW w:w="7440" w:type="dxa"/>
            <w:vAlign w:val="bottom"/>
            <w:gridSpan w:val="1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4.</w:t>
              </w:r>
            </w:hyperlink>
          </w:p>
        </w:tc>
        <w:tc>
          <w:tcPr>
            <w:tcW w:w="820" w:type="dxa"/>
            <w:vAlign w:val="bottom"/>
            <w:gridSpan w:val="3"/>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4A.</w:t>
              </w:r>
            </w:hyperlink>
          </w:p>
        </w:tc>
        <w:tc>
          <w:tcPr>
            <w:tcW w:w="680" w:type="dxa"/>
            <w:vAlign w:val="bottom"/>
            <w:gridSpan w:val="2"/>
          </w:tcPr>
          <w:p>
            <w:pPr>
              <w:spacing w:after="0"/>
              <w:rPr>
                <w:sz w:val="24"/>
                <w:szCs w:val="24"/>
                <w:color w:val="auto"/>
              </w:rPr>
            </w:pPr>
          </w:p>
        </w:tc>
        <w:tc>
          <w:tcPr>
            <w:tcW w:w="374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EXECUTIVE OFFICERS OF THE REGISTRANT</w:t>
              </w:r>
            </w:hyperlink>
          </w:p>
        </w:tc>
        <w:tc>
          <w:tcPr>
            <w:tcW w:w="558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820" w:type="dxa"/>
            <w:vAlign w:val="bottom"/>
            <w:gridSpan w:val="3"/>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w:t>
              </w:r>
            </w:hyperlink>
          </w:p>
        </w:tc>
        <w:tc>
          <w:tcPr>
            <w:tcW w:w="6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5"/>
          </w:tcPr>
          <w:p>
            <w:pPr>
              <w:spacing w:after="0"/>
              <w:rPr>
                <w:sz w:val="17"/>
                <w:szCs w:val="17"/>
                <w:color w:val="auto"/>
              </w:rPr>
            </w:pPr>
          </w:p>
        </w:tc>
        <w:tc>
          <w:tcPr>
            <w:tcW w:w="10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Dividends</w:t>
              </w:r>
            </w:hyperlink>
          </w:p>
        </w:tc>
        <w:tc>
          <w:tcPr>
            <w:tcW w:w="7900" w:type="dxa"/>
            <w:vAlign w:val="bottom"/>
            <w:gridSpan w:val="2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Number of Record Holders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Recent Sales of Unregistered Equity Securities</w:t>
              </w:r>
            </w:hyperlink>
          </w:p>
        </w:tc>
        <w:tc>
          <w:tcPr>
            <w:tcW w:w="594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Issuer Purchases of Equity Securities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820" w:type="dxa"/>
            <w:vAlign w:val="bottom"/>
            <w:gridSpan w:val="3"/>
          </w:tcPr>
          <w:p>
            <w:pPr>
              <w:spacing w:after="0"/>
              <w:rPr>
                <w:sz w:val="24"/>
                <w:szCs w:val="24"/>
                <w:color w:val="auto"/>
              </w:rPr>
            </w:pPr>
          </w:p>
        </w:tc>
        <w:tc>
          <w:tcPr>
            <w:tcW w:w="2660" w:type="dxa"/>
            <w:vAlign w:val="bottom"/>
            <w:tcBorders>
              <w:top w:val="single" w:sz="8" w:color="0000EE"/>
            </w:tcBorders>
            <w:gridSpan w:val="2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666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7.</w:t>
              </w:r>
            </w:hyperlink>
          </w:p>
        </w:tc>
        <w:tc>
          <w:tcPr>
            <w:tcW w:w="820" w:type="dxa"/>
            <w:vAlign w:val="bottom"/>
            <w:gridSpan w:val="3"/>
          </w:tcPr>
          <w:p>
            <w:pPr>
              <w:spacing w:after="0"/>
              <w:rPr>
                <w:sz w:val="24"/>
                <w:szCs w:val="24"/>
                <w:color w:val="auto"/>
              </w:rPr>
            </w:pPr>
          </w:p>
        </w:tc>
        <w:tc>
          <w:tcPr>
            <w:tcW w:w="8920" w:type="dxa"/>
            <w:vAlign w:val="bottom"/>
            <w:tcBorders>
              <w:bottom w:val="single" w:sz="8" w:color="0000EE"/>
            </w:tcBorders>
            <w:gridSpan w:val="36"/>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MANAGEMENT’S DISCUSSION AND ANALYSIS OF FINANCIAL CONDITION AND RESULTS OF OPERATIONS</w:t>
              </w:r>
            </w:hyperlink>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General Overview</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Financial Overview</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5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4"/>
          </w:tcPr>
          <w:p>
            <w:pPr>
              <w:jc w:val="center"/>
              <w:ind w:right="4680"/>
              <w:spacing w:after="0"/>
              <w:rPr>
                <w:sz w:val="20"/>
                <w:szCs w:val="20"/>
                <w:color w:val="auto"/>
              </w:rPr>
            </w:pPr>
            <w:r>
              <w:rPr>
                <w:rFonts w:ascii="Arial" w:cs="Arial" w:eastAsia="Arial" w:hAnsi="Arial"/>
                <w:sz w:val="18"/>
                <w:szCs w:val="18"/>
                <w:color w:val="auto"/>
              </w:rPr>
              <w:t>i</w:t>
            </w:r>
          </w:p>
        </w:tc>
        <w:tc>
          <w:tcPr>
            <w:tcW w:w="62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3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Liquidity and Capital Resources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900" w:type="dxa"/>
            <w:vAlign w:val="bottom"/>
            <w:gridSpan w:val="11"/>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Off-Balance Sheet Arrangements</w:t>
              </w:r>
            </w:hyperlink>
          </w:p>
        </w:tc>
        <w:tc>
          <w:tcPr>
            <w:tcW w:w="690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gridSpan w:val="3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Inflation and Seasonality</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Market Risk</w:t>
              </w:r>
            </w:hyperlink>
          </w:p>
        </w:tc>
        <w:tc>
          <w:tcPr>
            <w:tcW w:w="900" w:type="dxa"/>
            <w:vAlign w:val="bottom"/>
            <w:tcBorders>
              <w:top w:val="single" w:sz="8" w:color="0000EE"/>
            </w:tcBorders>
            <w:gridSpan w:val="11"/>
          </w:tcPr>
          <w:p>
            <w:pPr>
              <w:spacing w:after="0"/>
              <w:rPr>
                <w:sz w:val="17"/>
                <w:szCs w:val="17"/>
                <w:color w:val="auto"/>
              </w:rPr>
            </w:pPr>
          </w:p>
        </w:tc>
        <w:tc>
          <w:tcPr>
            <w:tcW w:w="752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Related Party Transactions</w:t>
              </w:r>
            </w:hyperlink>
          </w:p>
        </w:tc>
        <w:tc>
          <w:tcPr>
            <w:tcW w:w="736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-1330960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-1330960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2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Critical Accounting Policies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Recent Accounting Pronouncements</w:t>
              </w:r>
            </w:hyperlink>
          </w:p>
        </w:tc>
        <w:tc>
          <w:tcPr>
            <w:tcW w:w="63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412"/>
        </w:trPr>
        <w:tc>
          <w:tcPr>
            <w:tcW w:w="18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ITEM 7A.</w:t>
              </w:r>
            </w:hyperlink>
          </w:p>
        </w:tc>
        <w:tc>
          <w:tcPr>
            <w:tcW w:w="580" w:type="dxa"/>
            <w:vAlign w:val="bottom"/>
            <w:gridSpan w:val="2"/>
          </w:tcPr>
          <w:p>
            <w:pPr>
              <w:spacing w:after="0"/>
              <w:rPr>
                <w:sz w:val="24"/>
                <w:szCs w:val="24"/>
                <w:color w:val="auto"/>
              </w:rPr>
            </w:pPr>
          </w:p>
        </w:tc>
        <w:tc>
          <w:tcPr>
            <w:tcW w:w="9020" w:type="dxa"/>
            <w:vAlign w:val="bottom"/>
            <w:gridSpan w:val="2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8.</w:t>
              </w:r>
            </w:hyperlink>
          </w:p>
        </w:tc>
        <w:tc>
          <w:tcPr>
            <w:tcW w:w="240" w:type="dxa"/>
            <w:vAlign w:val="bottom"/>
            <w:tcBorders>
              <w:top w:val="single" w:sz="8" w:color="0000EE"/>
            </w:tcBorders>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46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4"/>
          </w:tcPr>
          <w:p>
            <w:pPr>
              <w:spacing w:after="0"/>
              <w:rPr>
                <w:sz w:val="24"/>
                <w:szCs w:val="24"/>
                <w:color w:val="auto"/>
              </w:rPr>
            </w:pPr>
          </w:p>
        </w:tc>
        <w:tc>
          <w:tcPr>
            <w:tcW w:w="28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ind w:left="20"/>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Item 9.</w:t>
              </w:r>
            </w:hyperlink>
          </w:p>
        </w:tc>
        <w:tc>
          <w:tcPr>
            <w:tcW w:w="820" w:type="dxa"/>
            <w:vAlign w:val="bottom"/>
            <w:gridSpan w:val="4"/>
          </w:tcPr>
          <w:p>
            <w:pPr>
              <w:spacing w:after="0"/>
              <w:rPr>
                <w:sz w:val="24"/>
                <w:szCs w:val="24"/>
                <w:color w:val="auto"/>
              </w:rPr>
            </w:pPr>
          </w:p>
        </w:tc>
        <w:tc>
          <w:tcPr>
            <w:tcW w:w="794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CHANGES IN AND DISAGREEMENTS WITH ACCOUNTANTS ON ACCOUNTING AND FINANCIAL</w:t>
              </w:r>
            </w:hyperlink>
          </w:p>
        </w:tc>
        <w:tc>
          <w:tcPr>
            <w:tcW w:w="10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DISCLOSURE</w:t>
              </w:r>
            </w:hyperlink>
          </w:p>
        </w:tc>
        <w:tc>
          <w:tcPr>
            <w:tcW w:w="7900" w:type="dxa"/>
            <w:vAlign w:val="bottom"/>
            <w:gridSpan w:val="2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412"/>
        </w:trPr>
        <w:tc>
          <w:tcPr>
            <w:tcW w:w="180" w:type="dxa"/>
            <w:vAlign w:val="bottom"/>
          </w:tcPr>
          <w:p>
            <w:pPr>
              <w:spacing w:after="0"/>
              <w:rPr>
                <w:sz w:val="24"/>
                <w:szCs w:val="24"/>
                <w:color w:val="auto"/>
              </w:rPr>
            </w:pPr>
          </w:p>
        </w:tc>
        <w:tc>
          <w:tcPr>
            <w:tcW w:w="3660" w:type="dxa"/>
            <w:vAlign w:val="bottom"/>
            <w:tcBorders>
              <w:bottom w:val="single" w:sz="8" w:color="0000EE"/>
            </w:tcBorders>
            <w:gridSpan w:val="16"/>
          </w:tcPr>
          <w:p>
            <w:pPr>
              <w:ind w:left="20"/>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Item 9A(T).  CONTROLS AND PROCEDURES</w:t>
              </w:r>
            </w:hyperlink>
          </w:p>
        </w:tc>
        <w:tc>
          <w:tcPr>
            <w:tcW w:w="67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20" w:type="dxa"/>
            <w:vAlign w:val="bottom"/>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Evaluation of Disclosure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2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Report on Internal Control over Financial Reporting</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Changes in Internal Control over Financial Reporting</w:t>
              </w:r>
            </w:hyperlink>
          </w:p>
        </w:tc>
        <w:tc>
          <w:tcPr>
            <w:tcW w:w="41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412"/>
        </w:trPr>
        <w:tc>
          <w:tcPr>
            <w:tcW w:w="18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Item 9B.</w:t>
              </w:r>
            </w:hyperlink>
          </w:p>
        </w:tc>
        <w:tc>
          <w:tcPr>
            <w:tcW w:w="740" w:type="dxa"/>
            <w:vAlign w:val="bottom"/>
            <w:gridSpan w:val="3"/>
          </w:tcPr>
          <w:p>
            <w:pPr>
              <w:spacing w:after="0"/>
              <w:rPr>
                <w:sz w:val="24"/>
                <w:szCs w:val="24"/>
                <w:color w:val="auto"/>
              </w:rPr>
            </w:pPr>
          </w:p>
        </w:tc>
        <w:tc>
          <w:tcPr>
            <w:tcW w:w="3840" w:type="dxa"/>
            <w:vAlign w:val="bottom"/>
            <w:tcBorders>
              <w:top w:val="single" w:sz="8" w:color="0000EE"/>
            </w:tcBorders>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18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52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PART III</w:t>
              </w:r>
            </w:hyperlink>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10.</w:t>
              </w:r>
            </w:hyperlink>
          </w:p>
        </w:tc>
        <w:tc>
          <w:tcPr>
            <w:tcW w:w="902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2"/>
        </w:trPr>
        <w:tc>
          <w:tcPr>
            <w:tcW w:w="1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Directors</w:t>
              </w:r>
            </w:hyperlink>
          </w:p>
        </w:tc>
        <w:tc>
          <w:tcPr>
            <w:tcW w:w="5120" w:type="dxa"/>
            <w:vAlign w:val="bottom"/>
            <w:tcBorders>
              <w:top w:val="single" w:sz="8" w:color="0000EE"/>
            </w:tcBorders>
            <w:gridSpan w:val="20"/>
          </w:tcPr>
          <w:p>
            <w:pPr>
              <w:spacing w:after="0"/>
              <w:rPr>
                <w:sz w:val="24"/>
                <w:szCs w:val="24"/>
                <w:color w:val="auto"/>
              </w:rPr>
            </w:pPr>
          </w:p>
        </w:tc>
        <w:tc>
          <w:tcPr>
            <w:tcW w:w="32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Executive Officers</w:t>
              </w:r>
            </w:hyperlink>
          </w:p>
        </w:tc>
        <w:tc>
          <w:tcPr>
            <w:tcW w:w="7660" w:type="dxa"/>
            <w:vAlign w:val="bottom"/>
            <w:gridSpan w:val="2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2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Section 16(a) Beneficial Ownership Reporting Compliance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Changes to Nomination Procedures</w:t>
              </w:r>
            </w:hyperlink>
          </w:p>
        </w:tc>
        <w:tc>
          <w:tcPr>
            <w:tcW w:w="1700" w:type="dxa"/>
            <w:vAlign w:val="bottom"/>
            <w:tcBorders>
              <w:top w:val="single" w:sz="8" w:color="0000EE"/>
            </w:tcBorders>
            <w:gridSpan w:val="5"/>
          </w:tcPr>
          <w:p>
            <w:pPr>
              <w:spacing w:after="0"/>
              <w:rPr>
                <w:sz w:val="17"/>
                <w:szCs w:val="17"/>
                <w:color w:val="auto"/>
              </w:rPr>
            </w:pPr>
          </w:p>
        </w:tc>
        <w:tc>
          <w:tcPr>
            <w:tcW w:w="476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Code of Ethics</w:t>
              </w:r>
            </w:hyperlink>
          </w:p>
        </w:tc>
        <w:tc>
          <w:tcPr>
            <w:tcW w:w="7940" w:type="dxa"/>
            <w:vAlign w:val="bottom"/>
            <w:gridSpan w:val="2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11.</w:t>
              </w:r>
            </w:hyperlink>
          </w:p>
        </w:tc>
        <w:tc>
          <w:tcPr>
            <w:tcW w:w="902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12.</w:t>
              </w:r>
            </w:hyperlink>
          </w:p>
        </w:tc>
        <w:tc>
          <w:tcPr>
            <w:tcW w:w="902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w:t>
              </w:r>
            </w:hyperlink>
          </w:p>
        </w:tc>
        <w:tc>
          <w:tcPr>
            <w:tcW w:w="9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STOCKHOLDER MATTERS</w:t>
              </w:r>
            </w:hyperlink>
          </w:p>
        </w:tc>
        <w:tc>
          <w:tcPr>
            <w:tcW w:w="10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Stock Ownership</w:t>
              </w:r>
            </w:hyperlink>
          </w:p>
        </w:tc>
        <w:tc>
          <w:tcPr>
            <w:tcW w:w="684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2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Securities Authorized for Issuance under Equity Compensation Plans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40" w:type="dxa"/>
            <w:vAlign w:val="bottom"/>
            <w:gridSpan w:val="1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13.</w:t>
              </w:r>
            </w:hyperlink>
          </w:p>
        </w:tc>
        <w:tc>
          <w:tcPr>
            <w:tcW w:w="90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CERTAIN RELATIONSHIPS AND RELATED PARTY TRANSACTIONS, AND DIRECTOR INDEPENDENCE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40" w:type="dxa"/>
            <w:vAlign w:val="bottom"/>
            <w:gridSpan w:val="14"/>
            <w:shd w:val="clear" w:color="auto" w:fill="0000EE"/>
          </w:tcPr>
          <w:p>
            <w:pPr>
              <w:spacing w:after="0" w:line="20" w:lineRule="exact"/>
              <w:rPr>
                <w:sz w:val="1"/>
                <w:szCs w:val="1"/>
                <w:color w:val="auto"/>
              </w:rPr>
            </w:pPr>
          </w:p>
        </w:tc>
        <w:tc>
          <w:tcPr>
            <w:tcW w:w="4340" w:type="dxa"/>
            <w:vAlign w:val="bottom"/>
            <w:gridSpan w:val="9"/>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14.</w:t>
              </w:r>
            </w:hyperlink>
          </w:p>
        </w:tc>
        <w:tc>
          <w:tcPr>
            <w:tcW w:w="90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40" w:type="dxa"/>
            <w:vAlign w:val="bottom"/>
            <w:gridSpan w:val="14"/>
            <w:shd w:val="clear" w:color="auto" w:fill="0000EE"/>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15.</w:t>
              </w:r>
            </w:hyperlink>
          </w:p>
        </w:tc>
        <w:tc>
          <w:tcPr>
            <w:tcW w:w="90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152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53"/>
        </w:trPr>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0"/>
          </w:tcPr>
          <w:p>
            <w:pPr>
              <w:ind w:left="180"/>
              <w:spacing w:after="0"/>
              <w:rPr>
                <w:sz w:val="20"/>
                <w:szCs w:val="20"/>
                <w:color w:val="auto"/>
              </w:rPr>
            </w:pPr>
            <w:r>
              <w:rPr>
                <w:rFonts w:ascii="Arial" w:cs="Arial" w:eastAsia="Arial" w:hAnsi="Arial"/>
                <w:sz w:val="18"/>
                <w:szCs w:val="18"/>
                <w:color w:val="auto"/>
              </w:rPr>
              <w:t>ii</w:t>
            </w:r>
          </w:p>
        </w:tc>
        <w:tc>
          <w:tcPr>
            <w:tcW w:w="92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“Item 1. Business – Forward-Looking Statements.”</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NTI Facilities, Inc. and Northern Technologies Holding Company, LLC, and its majority-owned subsidiary –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Northern Technologies International Corporation develops and markets proprietary environmentally beneficial products and technical services either directly or via a network of joint ventures and independent distributors in over 50 countries. NTIC’s primary business is corrosion prevention. In addition, NTIC has recently launched a new product line of compounds and finished products based on a portfolio of proprietary bio-plastic technologies. NTIC also is in the advanced stages of commercially launching waste plastic to fuel conversion technology and is in various stages of development with respect to several other emerging businesses.</w:t>
      </w:r>
    </w:p>
    <w:p>
      <w:pPr>
        <w:spacing w:after="0" w:line="192"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NTIC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EXCOR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25 years. NTIC also offers worldwide on-site technical consulting for rust and corrosion</w:t>
      </w:r>
    </w:p>
    <w:p>
      <w:pPr>
        <w:ind w:right="80"/>
        <w:spacing w:after="0" w:line="234" w:lineRule="auto"/>
        <w:rPr>
          <w:sz w:val="20"/>
          <w:szCs w:val="20"/>
          <w:color w:val="auto"/>
        </w:rPr>
      </w:pPr>
      <w:r>
        <w:rPr>
          <w:rFonts w:ascii="Arial" w:cs="Arial" w:eastAsia="Arial" w:hAnsi="Arial"/>
          <w:sz w:val="16"/>
          <w:szCs w:val="16"/>
          <w:color w:val="auto"/>
        </w:rPr>
        <w:t>prevention issues. In North America, NTIC markets its technical services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principally to industrial users by a direct sales force and a network of independent distributors. NTIC’s technical service consultants work directly with the end users of NTIC’s products to analyze their specific needs</w:t>
      </w:r>
    </w:p>
    <w:p>
      <w:pPr>
        <w:sectPr>
          <w:pgSz w:w="11900" w:h="16838" w:orient="portrait"/>
          <w:cols w:equalWidth="0" w:num="1">
            <w:col w:w="11460"/>
          </w:cols>
          <w:pgMar w:left="240" w:top="108" w:right="199" w:bottom="0" w:gutter="0" w:footer="0" w:header="0"/>
        </w:sectPr>
      </w:pPr>
    </w:p>
    <w:bookmarkStart w:id="3" w:name="page4"/>
    <w:bookmarkEnd w:id="3"/>
    <w:p>
      <w:pPr>
        <w:spacing w:after="0" w:line="62" w:lineRule="exact"/>
        <w:rPr>
          <w:sz w:val="20"/>
          <w:szCs w:val="20"/>
          <w:color w:val="auto"/>
        </w:rPr>
      </w:pPr>
    </w:p>
    <w:p>
      <w:pPr>
        <w:ind w:right="620"/>
        <w:spacing w:after="0" w:line="280" w:lineRule="auto"/>
        <w:rPr>
          <w:sz w:val="20"/>
          <w:szCs w:val="20"/>
          <w:color w:val="auto"/>
        </w:rPr>
      </w:pPr>
      <w:r>
        <w:rPr>
          <w:rFonts w:ascii="Arial" w:cs="Arial" w:eastAsia="Arial" w:hAnsi="Arial"/>
          <w:sz w:val="18"/>
          <w:szCs w:val="18"/>
          <w:color w:val="auto"/>
        </w:rPr>
        <w:t>and develop systems to meet their technical requirements. In fiscal 2008, over 94.6% of NTIC’s consolidated net sales were derived from the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EXCOR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packaging products and services.</w:t>
      </w:r>
    </w:p>
    <w:p>
      <w:pPr>
        <w:spacing w:after="0" w:line="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addition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NTIC develops and has recently launched a portfolio of bio-based and biodegradable (compostable) polymer resin compounds and finished products under the Natur-Tec™ brand. These products are intended to reduce NTIC’s customers’ carbon footprint and provide environmentally sound disposal options. NTIC’s consolidated net sales in North America for fiscal 2008 included $383,904 in sales of NTIC’s Natur-Tec™ products. In recent years, a combination of market drivers, such as higher petroleum prices, a desire to reduce dependence on foreign oil, increased environmental awareness at the consumer level and regulations banning the use of traditional, petroleum-based plastics, have led to interest in sustainable, renewable resource-based and compostable alternatives to traditional plastics. Natur-Tec™ bio-based and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environment. Unlike competing plastic products claiming to be “degradable” or “oxo-degradable” that only break down into smaller plastic fragments, Natur-Tec™ products are designed to completely biodegrade within 180 days in accordance with the ASTM D6400 standard for compostable plastics and are certified 100 percent biodegradable and compostable by the Biodegradable Products Institute.</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NTIC is engaged in scientific research and development programs in the areas of materials science and corrosion protection. NTIC’s research and development investments are intended to build on NTIC’s current environmentally responsible corrosion technologies and provide for a portfolio of new environmental technology offerings. Specifically, NTIC’s research and development efforts focus on developing additional biodegradable and compostable plastics products, process technology and equipment to convert plastic waste into crude oil and the application of new and existing corrosion inhibiting technology to the oil and gas industry. NTIC intends to distribute and sell products incorporating these new technologies through its North American operations, its existing joint ventures and new joint ventures.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Joint Ventures and Holding Companies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 participates, either directly or indirectly through holding companies, in 29 corporate joint venture arrangements in North America, South America, Europe, Asia and the Middle East. Each of these joint ventures manufactures and markets finished products in the geographic territory that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and market or intend to manufacture and market bio-based additives with both industrial and personal care applications, machinery that converts plastic waste into crude oil and electronic sensing instruments. NTIC categorizes its joint ventures into two principal areas: industrial chemical and non-industrial chemical.</w:t>
      </w:r>
    </w:p>
    <w:p>
      <w:pPr>
        <w:spacing w:after="0" w:line="18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NTIC’s industrial chemical corporate joint ventures currently primarily focus on the manufacturing, marketing and distribution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Both NTIC and NTIC’s corporate joint venture in Germany, Excor Korrosionsschutz – Technologien und Produkte GmbH (“Excor”), through Excor’s wholly owned subsidiary Excor Korrosionsforschung GmbH, manufacture and supply the industrial chemical corporate joint ventures with the essential additives (“Masterbatch”) required to make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functional.</w:t>
      </w:r>
    </w:p>
    <w:p>
      <w:pPr>
        <w:spacing w:after="0" w:line="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manufacturing and marketing of proprietary lines of bio-based additives with both industrial and personal care applications. Based on cotton, soy, corn and other renewable resources, React-NTI products outperform many synthetically derived competing alternatives. React-NTI’s target markets currently include sintered metal and sintered metal parts manufactures, ink manufacturers, and personal care and cosmetics manufacturers.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NTIC has a 50% ownership interest in NTI ASEAN, LLC for its corporate joint venture investments in the ASEAN region. Taiyo Petroleum Gas Co. Ltd., NTIC’s existing joint venture partner in Japan, owns the remaining 50% ownership interest in NTI ASEAN, LLC.</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a 50% ownership interest in Northern Instruments Corporation LLC for its corporate joint venture investments in Mütec GmbH in Germany. Taiyo Petroleum Gas Co. Ltd., NTIC’s existing joint venture partner in Japan, owns the remaining 50% ownership interest in Northern Instruments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Corporation LLC. Northern Instruments Corporation LLC then owns 80% of Mütec GmbH. Mütec GmbH manufactures proprietary electronic sensing instruments, which it sells through distribution as well as certain corporate joint ventures. Mütec GmbH is NTIC’s only non-industrial chemical joint venture.</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NTIC sold its 50% ownership interest in its industrial chemical joint venture in Austria in fiscal 2008 for $364,000. NTIC’s industrial chemical joint venture in Germany purchased NTIC’s 50% Austrian joint venture interest and has consolidated the joint venture into its existing business. NTIC’s German joint venture will service the territory and customers of the former Austrian venture in addition to its own territory and customers.</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table sets forth a list of NTIC’s corporate joint ventures as of November 25, 2008, indicating which joint ventures are industrial chemical or non-industrial chemical, the country in which the joint venture is organized, NTIC’s ownership percentage in each joint venture and the date of NTIC’s original investment in each joint venture: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NTIC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Calendar</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Percent</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Year of</w:t>
            </w: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Joint Venture Name</w:t>
            </w:r>
          </w:p>
        </w:tc>
        <w:tc>
          <w:tcPr>
            <w:tcW w:w="17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Country</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Ownership</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91"/>
        </w:trPr>
        <w:tc>
          <w:tcPr>
            <w:tcW w:w="642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4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INDUSTRIAL CHEMICAL CORPORATE JOINT VENTURES</w:t>
            </w:r>
          </w:p>
        </w:tc>
        <w:tc>
          <w:tcPr>
            <w:tcW w:w="2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TAIYONIC LTD.</w:t>
            </w:r>
          </w:p>
        </w:tc>
        <w:tc>
          <w:tcPr>
            <w:tcW w:w="26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ACOBAL SAS</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ZERUST-NIC (TAIWAN) CORP.</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Taiwan*</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EXCOR GmbH</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Germany</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ZERUST SINGAPORE PTE. LTD</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Singapore*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ZERUST AB</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ZERUST PREVENÇÃO DE CORROSÃO LTDA.</w:t>
            </w: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MOSTNIC</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KOREA ZERUST CO., LTD.</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South Korea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ZERUST OY</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Finland</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ZERUST (U.K.) LTD.</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EXCOR-ZERUST S.R.O.</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EXCOR SP. Z.O.O.</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SPECIALTY – NTIA CO. LTD.</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Thailand*</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TIANJIN ZERUST CO.</w:t>
            </w:r>
          </w:p>
        </w:tc>
        <w:tc>
          <w:tcPr>
            <w:tcW w:w="2620" w:type="dxa"/>
            <w:vAlign w:val="bottom"/>
          </w:tcPr>
          <w:p>
            <w:pPr>
              <w:jc w:val="center"/>
              <w:spacing w:after="0"/>
              <w:rPr>
                <w:sz w:val="20"/>
                <w:szCs w:val="20"/>
                <w:color w:val="auto"/>
              </w:rPr>
            </w:pPr>
            <w:r>
              <w:rPr>
                <w:rFonts w:ascii="Arial" w:cs="Arial" w:eastAsia="Arial" w:hAnsi="Arial"/>
                <w:sz w:val="18"/>
                <w:szCs w:val="18"/>
                <w:color w:val="auto"/>
                <w:w w:val="96"/>
              </w:rPr>
              <w:t>China*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HARITA-NTI</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CHONG WAH-NTIA SDN. BHD.</w:t>
            </w: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Malaysia*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NTIA ZERUST PHILIPPINES, INC.</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Philippines*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FIBRO NTI JOINT STOCK CO.</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ZERUST CONSUMER PRODUCTS, LLC</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REACT-NTI, LLC***</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75%</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POLYMER ENERGY LLC****</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62.5%</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ZERUST – DNEPR</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SINGLE POINT ENERGY &amp; ENVIRONMENT CO. LTD.</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Thailand</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NTI-DILMUN MIDDLE EAST FZCO.</w:t>
            </w: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UAE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CHEMINDO – NTIA</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Indonesia*</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NON-INDUSTRIAL CHEMICAL CORPORATE JOINT VENTURES</w:t>
            </w:r>
          </w:p>
        </w:tc>
        <w:tc>
          <w:tcPr>
            <w:tcW w:w="2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MUTEC GMBH</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Germany**</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225" w:lineRule="exact"/>
        <w:rPr>
          <w:sz w:val="20"/>
          <w:szCs w:val="20"/>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React-NTI LLC is fully consolidated on NTIC’s consolidated financial statements (See note 1 to NTIC’s consolidated financial statements).</w:t>
      </w:r>
    </w:p>
    <w:p>
      <w:pPr>
        <w:spacing w:after="0" w:line="236"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Polymer Energy LLC has immaterial activity in fiscal 2008 and is not fully consolidated on NTIC’s consolidated financial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NTIC’s international rust and corrosion inhibiting product business has expanded significantly during the past several fiscal years. NTIC has entered into five new corporate joint venture arrangements during the past three fiscal years. Total net sales of all of NTIC’s joint ventures increased 25.7% to $101,279,532 during fiscal 2008 as compared to $80,551,700 during fiscal 2007 and increased 26.0% during fiscal 2007 compared to fiscal 2006. The profits of NTIC’s corporate joint ventures are shared, however, by the respective corporate joint venture owners in accordance with their respective ownership percentages. In addition, NTIC’s receipt of funds as a result of sales by its joint ventures is dependent upon NTIC’s receipt of dividend distributions from the joint ventures and NTIC’s receipt of fees for technical and other support services that NTIC provides to its joint ventures based on the revenues of the joint ventures. NTIC typically owns only 50% or less of its joint venture entities and thus does not control the decisions of these entities regarding whether to pay dividends and how much in dividends in any given year. NTIC’s equity in income from its corporate joint ventures and holding companies increased 18.4% to $3,792,197 in fiscal 2008 compared to $3,201,621 in fiscal 2007. NTIC recognized fee income for such technical and support services of $5,956,403 in fiscal 2008 compared to $4,976,194 in fiscal 2007.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$5,406,766 in direct joint venture expenses in fiscal 2008 as compared to $4,876,928 in fiscal 2007. The majority of this increase, however, was due to the establishment of a $400,000 expense reserve related to the settlement of a trademark infringement case in Finland (See note 18 entitled “Commitments and Contingencies” to NTIC’s consolidated financial statements for further information). NTIC’s income from its corporate joint ventures and holding companies was $4,514,601 in fiscal 2008 as compared to $3,300,887 in fiscal 2007.</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the corporate joint ventures listed above, there can be no assurance that NTIC will not be subject to lawsuits based on product liability claims or other claims arising out of the activities of each joint venture. To mitigate the ramifications of such an occurrence, NTIC maintains liability insurance specifically applicable to its ownership positions in the joint venture arrangements in excess of any insurance the joint ventures may maintain.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currently derives revenues from the following product lines: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Corrosion Prevention</w:t>
      </w:r>
      <w:r>
        <w:rPr>
          <w:rFonts w:ascii="Arial" w:cs="Arial" w:eastAsia="Arial" w:hAnsi="Arial"/>
          <w:sz w:val="17"/>
          <w:szCs w:val="17"/>
          <w:color w:val="auto"/>
        </w:rPr>
        <w:t>. Over 94.6% of NTIC’s consolidated net sales for fiscal 2008 were derived from developing, manufacturing and marketing</w:t>
      </w:r>
    </w:p>
    <w:p>
      <w:pPr>
        <w:spacing w:after="0" w:line="3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packaging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w:t>
      </w:r>
    </w:p>
    <w:p>
      <w:pPr>
        <w:sectPr>
          <w:pgSz w:w="11900" w:h="16838" w:orient="portrait"/>
          <w:cols w:equalWidth="0" w:num="1">
            <w:col w:w="11420"/>
          </w:cols>
          <w:pgMar w:left="240" w:top="140" w:right="239" w:bottom="0" w:gutter="0" w:footer="0" w:header="0"/>
        </w:sectPr>
      </w:pPr>
    </w:p>
    <w:bookmarkStart w:id="5" w:name="page6"/>
    <w:bookmarkEnd w:id="5"/>
    <w:p>
      <w:pPr>
        <w:ind w:right="80"/>
        <w:spacing w:after="0" w:line="223" w:lineRule="auto"/>
        <w:rPr>
          <w:sz w:val="20"/>
          <w:szCs w:val="20"/>
          <w:color w:val="auto"/>
        </w:rPr>
      </w:pPr>
      <w:r>
        <w:rPr>
          <w:rFonts w:ascii="Arial" w:cs="Arial" w:eastAsia="Arial" w:hAnsi="Arial"/>
          <w:sz w:val="16"/>
          <w:szCs w:val="16"/>
          <w:color w:val="auto"/>
        </w:rPr>
        <w:t>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packaging products contain proprietary nontoxic chemical systems (primarily using food additives) that passivate metal surfaces and thereby inhibit rust and corrosion. The corrosion-inhibiting protection is maintained as long as the metal products to be protected remain enclosed within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packaging. Electron scanning further shows that once the contents are removed from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spacing w:after="0" w:line="228" w:lineRule="auto"/>
        <w:rPr>
          <w:sz w:val="20"/>
          <w:szCs w:val="20"/>
          <w:color w:val="auto"/>
        </w:rPr>
      </w:pPr>
      <w:r>
        <w:rPr>
          <w:rFonts w:ascii="Arial" w:cs="Arial" w:eastAsia="Arial" w:hAnsi="Arial"/>
          <w:sz w:val="18"/>
          <w:szCs w:val="18"/>
          <w:color w:val="auto"/>
        </w:rPr>
        <w:t>enables NTIC’s customers to easily package metal objects for rust-free shipment or long-term storage. Furthermore, by eliminating costly greasing and degreasing processes and/or significantly reducing the use of oils to inhibit corrosion,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technology provides its customers significant savings in labor, material and capital expenditures for equipment to apply, remove and dispose of oil and grease, as well as the attendant environmental problems, as compared to traditional methods of corrosion prevention.</w:t>
      </w: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NTIC developed the first means of combining corrosion inhibiting chemical systems with polyethylene and polypropylene resins. Combining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chemical systems with polyethylene and polypropylene resins permitted NTIC to introduce to industry a line of packaging products in the form of low and high density polyethylene bags and shroud film, stretch, shrink, skin and bubble cushioning film, woven scrim, foam sheeting, profile and corrugated board, thermoformed dunnage trays and bins, injection and blow molded products and flat netting, thereby giving packaging engineers an opportunity to ship and store ferrous, nonferrous and mixed multi-metal products in a clean, dry and corrosion-free condition, with an attendant overall savings in total packaging</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cost. Products also include a line of several diffusers, such as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Vapor Capsules, ZERUST ICT™ Plastabs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Cor-Tabs</w:t>
      </w:r>
      <w:r>
        <w:rPr>
          <w:rFonts w:ascii="Arial" w:cs="Arial" w:eastAsia="Arial" w:hAnsi="Arial"/>
          <w:sz w:val="26"/>
          <w:szCs w:val="26"/>
          <w:color w:val="auto"/>
          <w:vertAlign w:val="superscript"/>
        </w:rPr>
        <w:t>®</w:t>
      </w:r>
      <w:r>
        <w:rPr>
          <w:rFonts w:ascii="Arial" w:cs="Arial" w:eastAsia="Arial" w:hAnsi="Arial"/>
          <w:sz w:val="16"/>
          <w:szCs w:val="16"/>
          <w:color w:val="auto"/>
        </w:rPr>
        <w:t>, which protect metal surfaces within the distance of a certain specified “radius of protection.” This industrial product line has since been expanded to also include items such as</w:t>
      </w:r>
    </w:p>
    <w:p>
      <w:pPr>
        <w:spacing w:after="0" w:line="2" w:lineRule="exact"/>
        <w:rPr>
          <w:sz w:val="20"/>
          <w:szCs w:val="20"/>
          <w:color w:val="auto"/>
        </w:rPr>
      </w:pPr>
    </w:p>
    <w:p>
      <w:pPr>
        <w:ind w:right="580"/>
        <w:spacing w:after="0" w:line="205"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gun cases and car covers targeted at retail consumers. NTIC has also developed proprietary corrosion inhibitors for use in the mitigation of corrosion in capital assets used in the petrochemical and related industries.</w:t>
      </w:r>
    </w:p>
    <w:p>
      <w:pPr>
        <w:spacing w:after="0" w:line="20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NTIC has also developed additives in liquid form to imbue corrugated cardboard, solid fiber and chipboard packaging materials with corrosion protection properties. Additionally, NTIC provides a line of metal surface treatment liquids, which are oil, water and bio-solvent based, marketed under the AXXA™ brand name.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 on-going effort to help NTIC’s customers improve and control their processes in terms of corrosion management, NTIC has started marketing and offering unique corrosion management and consulting services to target customers. This corrosion management system (known as Z-CIS™) utilizes NTIC’s global experience in successful corrosion management control. Services and consulting are billed according to work done on the customer’s behalf to improve the customer’s internal and external corrosion control systems.</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Bio-Plastics</w:t>
      </w:r>
      <w:r>
        <w:rPr>
          <w:rFonts w:ascii="Arial" w:cs="Arial" w:eastAsia="Arial" w:hAnsi="Arial"/>
          <w:sz w:val="17"/>
          <w:szCs w:val="17"/>
          <w:color w:val="auto"/>
        </w:rPr>
        <w:t>. In fiscal 2008, NTIC began to manufacture and sell a range of bio-based and biodegradable (compostable) polymer resin compounds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under the Natur-Tec™ brand. NTIC’s consolidated net sales in North America for fiscal 2008 included $383,904 in sales of NTIC’s Natur-Tec™ products. In recent years, a combination of market drivers such as higher petroleum prices, a desire to reduce dependence on foreign oil, increased environmental awareness at the consumer level, and favorable regulations banning the use of traditional, petroleum-based plastics, have led to interest in sustainable, renewable resource based and compostable alternatives to traditional plastics. The term “bio-plastics” encompasses a broad category of plastics that are either bio-based (i.e. derived from renewable resources such as corn or cellulosic/plant material or blends thereof) or are plastics that are engineered to be fully biodegradable/compostable.</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Natur-Tec™ polymer resins are produced using NTIC’s proprietary and patent pending ReX Process. In this process, biodegradable polymers, natural polymers made from renewable resources, and organic and inorganic materials are reactively blended in the presence of proprietary compatibilizers and polymer modifiers to produce bio-based/biodegradable polymer resin formulations that exhibit unique and stable morphology. Natur-Tec™ polymer resins are engineered for high performance, ease of processing and reduced cost, and can be processed by converters using conventional manufacturing processes and equipment. Natur-Tec™ resins are available in several grades tailored for a variety of applications such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blown-film extrusion, extrusion coating, injection molding and more. Natur-Tec™ biodegradable and compostable polymer resins and all products made thereof meet requirements of international standards for compostable plastics such as ASTM D6400 (U.S.) and EN 13432 (Europe), and are certified as 100% compostable by the Biodegradable Products Institute in the U.S. The finished products include totally biodegradable compost and trash bags, agricultural film and other single-use disposable products such as compostable cutlery, food and consumer goods packaging. In addition, NTIC is developing a line of renewable resource based resin compounds for durable engineering plastics applications such as automotive and industrial plastics.</w:t>
      </w:r>
    </w:p>
    <w:p>
      <w:pPr>
        <w:spacing w:after="0" w:line="15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i w:val="1"/>
          <w:iCs w:val="1"/>
          <w:color w:val="auto"/>
        </w:rPr>
        <w:t>Bio-Based Chemical Additives</w:t>
      </w:r>
      <w:r>
        <w:rPr>
          <w:rFonts w:ascii="Arial" w:cs="Arial" w:eastAsia="Arial" w:hAnsi="Arial"/>
          <w:sz w:val="17"/>
          <w:szCs w:val="17"/>
          <w:color w:val="auto"/>
        </w:rPr>
        <w:t>. NTIC’s React-NTI, LLC joint venture revenues for fiscal 2008 of $301,697 were primarily derived from the sales of MR-101 and MR-102 anti-abrasion ink additives to one former customer. The ink industry uses these additives to ensure ink does not “rub off” the pages of magazines and books. As described in more detail under the heading “Part II. Item 7. Management’s Discussion and Analysis of Financial Condition and Results of Operations—Financial Overview,” during fourth quarter of fiscal 2007, this customer notified React that it would place future orders for React’s remaining inventory of ink additives, but that after such inventory was purchased, the customer would not place any future orders. Although the loss of this customer had a material adverse impact on NTIC’s consolidated net sales for fiscal 2008, the profit on React’s sales of the ink additives to the customer was extremely small and the resulting effect on NTIC’s net income during fiscal 2008 was not material.</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React-NTI’s renewable resource-based industrial chemical additive sales in fiscal 2008 also came from a patented sintered metal mold release agent sold under the brand name SERAVAT™. SERAVAT™ significantly increases the “green strength” of powder metal parts as they are ejected from their molds. The increase in green strength leads to much higher process yields for the user, especially in stainless steel applications, thereby significantly lowering their production costs.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React-NTI’s renewable resource-based personal care chemical additive sales in fiscal 2008 included the Farona™ line of patented micronized cotton and corn powders. End user applications for these additives included deodorants, pressed powder products and loose powder products. Sales also were derived from</w:t>
      </w:r>
    </w:p>
    <w:p>
      <w:pPr>
        <w:sectPr>
          <w:pgSz w:w="11900" w:h="16838" w:orient="portrait"/>
          <w:cols w:equalWidth="0" w:num="1">
            <w:col w:w="11420"/>
          </w:cols>
          <w:pgMar w:left="240" w:top="125" w:right="239" w:bottom="0" w:gutter="0" w:footer="0" w:header="0"/>
        </w:sectPr>
      </w:pPr>
    </w:p>
    <w:bookmarkStart w:id="6" w:name="page7"/>
    <w:bookmarkEnd w:id="6"/>
    <w:p>
      <w:pPr>
        <w:ind w:right="260"/>
        <w:spacing w:after="0" w:line="277" w:lineRule="auto"/>
        <w:rPr>
          <w:sz w:val="20"/>
          <w:szCs w:val="20"/>
          <w:color w:val="auto"/>
        </w:rPr>
      </w:pPr>
      <w:r>
        <w:rPr>
          <w:rFonts w:ascii="Arial" w:cs="Arial" w:eastAsia="Arial" w:hAnsi="Arial"/>
          <w:sz w:val="18"/>
          <w:szCs w:val="18"/>
          <w:color w:val="auto"/>
        </w:rPr>
        <w:t>patented EnviroPure™ emollient gels that consist of a soy and canola base petrolatum replacement, as well as EnviroSolve™ soy and canola base solvents that were used, among other applications, as a successful acetone replacement.</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Electronic Measuring Instruments</w:t>
      </w:r>
      <w:r>
        <w:rPr>
          <w:rFonts w:ascii="Arial" w:cs="Arial" w:eastAsia="Arial" w:hAnsi="Arial"/>
          <w:sz w:val="17"/>
          <w:szCs w:val="17"/>
          <w:color w:val="auto"/>
        </w:rPr>
        <w:t>. NTIC’s Mütec GmbH joint venture develops, manufactures and sells proprietary electronics components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signal converters, Input-Output interfaces, bulk goods property measurement instruments, and process sensor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Businesses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NTIC is in the process of expanding its technologies into other applications and businesses. NTIC is undertaking these new businesses either directly or through joint ventures.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Plastics to Fuel Oil Conversion Technology</w:t>
      </w:r>
      <w:r>
        <w:rPr>
          <w:rFonts w:ascii="Arial" w:cs="Arial" w:eastAsia="Arial" w:hAnsi="Arial"/>
          <w:sz w:val="16"/>
          <w:szCs w:val="16"/>
          <w:color w:val="auto"/>
        </w:rPr>
        <w:t>. Polymer Energy™ offers a fiscally and environmentally beneficial solution to plastic waste. Polymer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uses catalytic pyrolysis to efficiently convert plastic waste (primarily polyolefins) into hydrocarbons (primarily a crude oil mix). The Polymer Energy™ system is modular by design and is perfectly suited for distributed processing of plastic waste. Each unit can process up to ten tons of plastic waste per day, and the modular design allows for easily scalable capacity. The Polymer Energy™ process can handle plastic that is contaminated with other types of waste such as metals, glass, dirt and water. The system can tolerate up to 25% of other waste in the input waste stream. As a result, the plastic waste does not need to be pre-sorted, cleaned or dried prior to processing, which significantly reduces the overall cost of operation. The output crude oil mix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high-grade and can be further processed in a refinery or used as an input for co-generation of electricity. NTIC, through Polymer Energy LLC, a joint venture in which NTIC has a 62.5% interest has an exclusive license to market the technology in countries in Asia and North America as per the current JV agreement. Polymer Energy LLC plans to sell its first unit in fiscal 2009 and intends to ramp up its manufacturing and service infrastructure to capitalize on global market opportunities it believes exists for the Polymer Energy™ solution.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Oil and Gas Technology</w:t>
      </w:r>
      <w:r>
        <w:rPr>
          <w:rFonts w:ascii="Arial" w:cs="Arial" w:eastAsia="Arial" w:hAnsi="Arial"/>
          <w:sz w:val="16"/>
          <w:szCs w:val="16"/>
          <w:color w:val="auto"/>
        </w:rPr>
        <w:t>. NTIC has developed proprietary corrosion inhibiting technologies for use in the mitigation of corrosion in capital assets used in the</w:t>
      </w:r>
    </w:p>
    <w:p>
      <w:pPr>
        <w:spacing w:after="0" w:line="46" w:lineRule="exact"/>
        <w:rPr>
          <w:sz w:val="20"/>
          <w:szCs w:val="20"/>
          <w:color w:val="auto"/>
        </w:rPr>
      </w:pPr>
    </w:p>
    <w:p>
      <w:pPr>
        <w:ind w:right="300"/>
        <w:spacing w:after="0" w:line="234" w:lineRule="auto"/>
        <w:rPr>
          <w:sz w:val="20"/>
          <w:szCs w:val="20"/>
          <w:color w:val="auto"/>
        </w:rPr>
      </w:pPr>
      <w:r>
        <w:rPr>
          <w:rFonts w:ascii="Arial" w:cs="Arial" w:eastAsia="Arial" w:hAnsi="Arial"/>
          <w:sz w:val="16"/>
          <w:szCs w:val="16"/>
          <w:color w:val="auto"/>
        </w:rPr>
        <w:t>process chemical industry and is initially targeting the sale of these new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to the oil and gas industry sector. NTIC has concluded successful trials of its solutions with a large oil company and is pursuing opportunities to market NTIC’s technology to other potential customers in the oil</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and gas industry across several countries through its joint venture partners and other strategic partners. NTIC believes the sale of its new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 NTIC has been granted several patents in this area and has several other patents pending covering these new technologies. NTIC has also expanded the core research and development team responsible for the development and testing of solutions for this market segment and is working with several large oil companies on R&amp;D projects to validate the effectiveness and efficacy of new NTIC solutions for this sector.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ind w:right="160"/>
        <w:spacing w:after="0" w:line="210" w:lineRule="auto"/>
        <w:rPr>
          <w:sz w:val="20"/>
          <w:szCs w:val="20"/>
          <w:color w:val="auto"/>
        </w:rPr>
      </w:pPr>
      <w:r>
        <w:rPr>
          <w:rFonts w:ascii="Arial" w:cs="Arial" w:eastAsia="Arial" w:hAnsi="Arial"/>
          <w:sz w:val="18"/>
          <w:szCs w:val="18"/>
          <w:color w:val="auto"/>
        </w:rPr>
        <w:t>NTIC produces its proprietary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additives and products at its facility in Circle Pines, Minnesota. NTIC’s other products are produced according to NTIC’s specifications by selected contractors and joint ventures under trade secrecy agreements and/or license agreements.</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United States, NTIC markets its products principally to industrial users by a direct sales force and through a network of independent distributors and manufacturer’s sales representatives. NTIC’s technical service consultants work directly with the end users of NTIC’s products to analyze their specific needs and develop systems to meet their technical requirements.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Internationally, NTIC has entered into several joint venture and similar arrangements with foreign partners (either directly or through a holding company). Pursuant to these arrangements, NTIC and/or Excor, NTIC’s corporate joint venture in Germany, supply certain proprietary additives to NTIC’s foreign joint</w:t>
      </w:r>
    </w:p>
    <w:p>
      <w:pPr>
        <w:ind w:right="260"/>
        <w:spacing w:after="0" w:line="219" w:lineRule="auto"/>
        <w:rPr>
          <w:sz w:val="20"/>
          <w:szCs w:val="20"/>
          <w:color w:val="auto"/>
        </w:rPr>
      </w:pPr>
      <w:r>
        <w:rPr>
          <w:rFonts w:ascii="Arial" w:cs="Arial" w:eastAsia="Arial" w:hAnsi="Arial"/>
          <w:sz w:val="17"/>
          <w:szCs w:val="17"/>
          <w:color w:val="auto"/>
        </w:rPr>
        <w:t>venture entities, which, in turn, provide for the international manufacture and marketing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other finished products. NTIC receives fees for providing technical support and marketing assistance to its joint ventures in accordance with the terms of the joint venture arrangements.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While NTIC is unaware of any third parties with which NTIC competes on a worldwide basis with respect to its corrosion prevention products, NTIC does compete with several third parties on a regional basis. NTIC evaluates competing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to devote greater resources to the promotion and sale of their products than NTIC can. With respect to its corrosion prevention products, NTIC competes on the basis of price, product innovation, quality and reliability, product support and customer service and reputation. Most of NTIC’s competitors have attempted to commoditize NTIC’s corrosion prevention packaging products thereby pressuring NTIC to compete at least in part on the basis of price. Some of these companies may have achieved significant market acceptance of their competing products and brand recognition. NTIC, however, believes it has an advantage over most of its competitors as a result of NTIC’s technical</w:t>
      </w:r>
    </w:p>
    <w:p>
      <w:pPr>
        <w:sectPr>
          <w:pgSz w:w="11900" w:h="16838" w:orient="portrait"/>
          <w:cols w:equalWidth="0" w:num="1">
            <w:col w:w="11420"/>
          </w:cols>
          <w:pgMar w:left="240" w:top="125" w:right="239" w:bottom="0" w:gutter="0" w:footer="0" w:header="0"/>
        </w:sectPr>
      </w:pPr>
    </w:p>
    <w:bookmarkStart w:id="7" w:name="page8"/>
    <w:bookmarkEnd w:id="7"/>
    <w:p>
      <w:pPr>
        <w:ind w:right="340"/>
        <w:spacing w:after="0" w:line="282" w:lineRule="auto"/>
        <w:rPr>
          <w:sz w:val="20"/>
          <w:szCs w:val="20"/>
          <w:color w:val="auto"/>
        </w:rPr>
      </w:pPr>
      <w:r>
        <w:rPr>
          <w:rFonts w:ascii="Arial" w:cs="Arial" w:eastAsia="Arial" w:hAnsi="Arial"/>
          <w:sz w:val="18"/>
          <w:szCs w:val="18"/>
          <w:color w:val="auto"/>
        </w:rPr>
        <w:t>innovation and its value added service. NTIC attempts to provide its customers with the highest level of technical service and applications engineering in addition to the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packaging.</w:t>
      </w:r>
    </w:p>
    <w:p>
      <w:pPr>
        <w:spacing w:after="0" w:line="6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With respect to NTIC’s bio-plastics products, NTIC competes with several established companies that have been producing and selling such products for a significantly longer time period, have significant sales and much more substantial financial and other resources than NTIC. In addition to performance, NTIC competes on the basis of price and therefore NTIC’s margins on its bio-plastics products are smaller than its margins on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NTIC also competes on the basis of supply for the resins used to manufacture NTIC’s bio-plastics products since there are a limited number of suppliers of such resins and limited capacity of production.</w:t>
      </w: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respect to NTIC’s plastics to fuel oil conversion technology, although NTIC is not currently aware of a large number of competitors, such competitors could quickly develop and a few have recently emerged from Asia.</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 respect to NTIC’s corrosion prevention technology for use in the oil and gas industry, NTIC is not currently aware of competitors with the same or similar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former customer of NTIC’s React-NTI, LLC joint venture accounted for, in the aggregate, approximately 2.0% and 28.0% of NTIC’s consolidated net sales for the fiscal years ended August 31, 2008 and 2007 respectively, and $16,879 and $132,999 of NTIC’s receivables at August 31, 2008 and 2007, respectively. As described in more detail under the heading “Part II. Item 7. Management’s Discussion and Analysis of Financial Condition and Results of Operations—Financial Overview,” during the fourth quarter of fiscal 2007, this customer notified React Inc. of the customer’s intent to purchase React’s remaining inventory of ink additives, but that after such inventory was depleted, the customer would not place any future orders with React Inc. Although the loss of the customer had a material adverse impact on NTIC’s consolidated net sales for fiscal 2008, the profit on React’s sales of the ink additives to the customer was extremely small and the resulting effect on NTIC’s net income during the fiscal 2008 was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NTIC’s research and development activities are directed at improving existing products, developing new products and improving quality assurance through improved testing of NTIC’s products. NTIC’s joint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venture in Germany, Excor, has established a wholly owned subsidiary, Excor Korrosionsforschung GmbH, to conduct research into new fields of corrosion inhibiting packaging and the applications engineering of such products in conjunction with NTIC’s domestic research and development operation. NTIC’s internal research and development activities are conducted at its facilities located in Circle Pines, Minnesota; Beachwood, Ohio; Dresden, Germany; Chennai, and India under the direction of internationally known scientists and research institutes under exclusive contract to NTIC with respect to the subject of their respective research efforts. NTIC’s research and development activities in Minnesota, Ohio, Germany and India, along with NTIC’s research and development efforts conducted with the expert consulting support of Dr. Ramani Narayan, frequently result in the development of intellectual property rights for NTIC. NTIC spent $2,532,791 in fiscal 2008 and $2,575,325 in fiscal 2007 in connection with its research and development activities. NTIC anticipates that it will spend between $2,800,000 and $3,200,000 in fiscal 2008 on research and development activities. These fees are accounted for in the “Expenses incurred in support of corporate joint ventures” section of NTIC’s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twelve letters of patents in the U.S. covering various corrosion inhibiting technologies, systems and applications. NTIC owns several patents in these areas. These patents as well as patent applications have been extended to the countries of strategic relevance to NTIC including, but not limited to, the Patent Cooperation Treaty. In addition, NTIC’s joint venture in Germany, EXCOR GmbH, owns several patents in the area covering various corrosion inhibiting technologies and also applied for new patent applications for proprietary new corrosion inhibiting technologies, to which NTIC and its other joint ventures worldwide have rights.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195"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In addition to seeking patent protection, NTIC maintains an extensive portfolio of trademarks in all countries where NTIC has joint venture presence. NTIC continuously pursues new trademark applications of strategic interest worldwide. NTIC owns the following U.S. registered trademarks: NTI</w:t>
      </w:r>
      <w:r>
        <w:rPr>
          <w:rFonts w:ascii="Arial" w:cs="Arial" w:eastAsia="Arial" w:hAnsi="Arial"/>
          <w:sz w:val="24"/>
          <w:szCs w:val="24"/>
          <w:color w:val="auto"/>
          <w:vertAlign w:val="superscript"/>
        </w:rPr>
        <w:t>®</w:t>
      </w:r>
      <w:r>
        <w:rPr>
          <w:rFonts w:ascii="Arial" w:cs="Arial" w:eastAsia="Arial" w:hAnsi="Arial"/>
          <w:sz w:val="17"/>
          <w:szCs w:val="17"/>
          <w:color w:val="auto"/>
        </w:rPr>
        <w:t>, NTI &amp; Globe Design, ZERUST</w:t>
      </w:r>
      <w:r>
        <w:rPr>
          <w:rFonts w:ascii="Arial" w:cs="Arial" w:eastAsia="Arial" w:hAnsi="Arial"/>
          <w:sz w:val="24"/>
          <w:szCs w:val="24"/>
          <w:color w:val="auto"/>
          <w:vertAlign w:val="superscript"/>
        </w:rPr>
        <w:t>®</w:t>
      </w:r>
      <w:r>
        <w:rPr>
          <w:rFonts w:ascii="Arial" w:cs="Arial" w:eastAsia="Arial" w:hAnsi="Arial"/>
          <w:sz w:val="17"/>
          <w:szCs w:val="17"/>
          <w:color w:val="auto"/>
        </w:rPr>
        <w:t>, EXCOR</w:t>
      </w:r>
      <w:r>
        <w:rPr>
          <w:rFonts w:ascii="Arial" w:cs="Arial" w:eastAsia="Arial" w:hAnsi="Arial"/>
          <w:sz w:val="24"/>
          <w:szCs w:val="24"/>
          <w:color w:val="auto"/>
          <w:vertAlign w:val="superscript"/>
        </w:rPr>
        <w:t>®</w:t>
      </w:r>
      <w:r>
        <w:rPr>
          <w:rFonts w:ascii="Arial" w:cs="Arial" w:eastAsia="Arial" w:hAnsi="Arial"/>
          <w:sz w:val="17"/>
          <w:szCs w:val="17"/>
          <w:color w:val="auto"/>
        </w:rPr>
        <w:t>, COR TAB</w:t>
      </w:r>
      <w:r>
        <w:rPr>
          <w:rFonts w:ascii="Arial" w:cs="Arial" w:eastAsia="Arial" w:hAnsi="Arial"/>
          <w:sz w:val="24"/>
          <w:szCs w:val="24"/>
          <w:color w:val="auto"/>
          <w:vertAlign w:val="superscript"/>
        </w:rPr>
        <w:t>®</w:t>
      </w:r>
      <w:r>
        <w:rPr>
          <w:rFonts w:ascii="Arial" w:cs="Arial" w:eastAsia="Arial" w:hAnsi="Arial"/>
          <w:sz w:val="17"/>
          <w:szCs w:val="17"/>
          <w:color w:val="auto"/>
        </w:rPr>
        <w:t>, PLASTABS</w:t>
      </w:r>
      <w:r>
        <w:rPr>
          <w:rFonts w:ascii="Arial" w:cs="Arial" w:eastAsia="Arial" w:hAnsi="Arial"/>
          <w:sz w:val="24"/>
          <w:szCs w:val="24"/>
          <w:color w:val="auto"/>
          <w:vertAlign w:val="superscript"/>
        </w:rPr>
        <w:t>®</w:t>
      </w:r>
      <w:r>
        <w:rPr>
          <w:rFonts w:ascii="Arial" w:cs="Arial" w:eastAsia="Arial" w:hAnsi="Arial"/>
          <w:sz w:val="17"/>
          <w:szCs w:val="17"/>
          <w:color w:val="auto"/>
        </w:rPr>
        <w:t>, MATCH-TECH</w:t>
      </w:r>
      <w:r>
        <w:rPr>
          <w:rFonts w:ascii="Arial" w:cs="Arial" w:eastAsia="Arial" w:hAnsi="Arial"/>
          <w:sz w:val="24"/>
          <w:szCs w:val="24"/>
          <w:color w:val="auto"/>
          <w:vertAlign w:val="superscript"/>
        </w:rPr>
        <w:t>®</w:t>
      </w:r>
      <w:r>
        <w:rPr>
          <w:rFonts w:ascii="Arial" w:cs="Arial" w:eastAsia="Arial" w:hAnsi="Arial"/>
          <w:sz w:val="17"/>
          <w:szCs w:val="17"/>
          <w:color w:val="auto"/>
        </w:rPr>
        <w:t>, COR/SCI</w:t>
      </w:r>
      <w:r>
        <w:rPr>
          <w:rFonts w:ascii="Arial" w:cs="Arial" w:eastAsia="Arial" w:hAnsi="Arial"/>
          <w:sz w:val="24"/>
          <w:szCs w:val="24"/>
          <w:color w:val="auto"/>
          <w:vertAlign w:val="superscript"/>
        </w:rPr>
        <w:t>®</w:t>
      </w:r>
      <w:r>
        <w:rPr>
          <w:rFonts w:ascii="Arial" w:cs="Arial" w:eastAsia="Arial" w:hAnsi="Arial"/>
          <w:sz w:val="17"/>
          <w:szCs w:val="17"/>
          <w:color w:val="auto"/>
        </w:rPr>
        <w:t>, NIC</w:t>
      </w:r>
      <w:r>
        <w:rPr>
          <w:rFonts w:ascii="Arial" w:cs="Arial" w:eastAsia="Arial" w:hAnsi="Arial"/>
          <w:sz w:val="24"/>
          <w:szCs w:val="24"/>
          <w:color w:val="auto"/>
          <w:vertAlign w:val="superscript"/>
        </w:rPr>
        <w:t>®</w:t>
      </w:r>
      <w:r>
        <w:rPr>
          <w:rFonts w:ascii="Arial" w:cs="Arial" w:eastAsia="Arial" w:hAnsi="Arial"/>
          <w:sz w:val="17"/>
          <w:szCs w:val="17"/>
          <w:color w:val="auto"/>
        </w:rPr>
        <w:t>. NTIC also has a registered trademark on the use of the Color Yellow with respect to corrosion inhibiting packaging. In addition, NTIC has applied for the following new trademarks in the U.S.: NATUR-TEC™, NATUR-TEC &amp; Design™, Polymer Energy™, Polymer Energy Logo™, ICT™, Z-CIS™. Furthermore, NTI</w:t>
      </w:r>
      <w:r>
        <w:rPr>
          <w:rFonts w:ascii="Arial" w:cs="Arial" w:eastAsia="Arial" w:hAnsi="Arial"/>
          <w:sz w:val="24"/>
          <w:szCs w:val="24"/>
          <w:color w:val="auto"/>
          <w:vertAlign w:val="superscript"/>
        </w:rPr>
        <w:t>®</w:t>
      </w:r>
      <w:r>
        <w:rPr>
          <w:rFonts w:ascii="Arial" w:cs="Arial" w:eastAsia="Arial" w:hAnsi="Arial"/>
          <w:sz w:val="17"/>
          <w:szCs w:val="17"/>
          <w:color w:val="auto"/>
        </w:rPr>
        <w:t>, ZERUST</w:t>
      </w:r>
      <w:r>
        <w:rPr>
          <w:rFonts w:ascii="Arial" w:cs="Arial" w:eastAsia="Arial" w:hAnsi="Arial"/>
          <w:sz w:val="24"/>
          <w:szCs w:val="24"/>
          <w:color w:val="auto"/>
          <w:vertAlign w:val="superscript"/>
        </w:rPr>
        <w:t>®</w:t>
      </w:r>
      <w:r>
        <w:rPr>
          <w:rFonts w:ascii="Arial" w:cs="Arial" w:eastAsia="Arial" w:hAnsi="Arial"/>
          <w:sz w:val="17"/>
          <w:szCs w:val="17"/>
          <w:color w:val="auto"/>
        </w:rPr>
        <w:t>, The ZERUST People</w:t>
      </w:r>
      <w:r>
        <w:rPr>
          <w:rFonts w:ascii="Arial" w:cs="Arial" w:eastAsia="Arial" w:hAnsi="Arial"/>
          <w:sz w:val="24"/>
          <w:szCs w:val="24"/>
          <w:color w:val="auto"/>
          <w:vertAlign w:val="superscript"/>
        </w:rPr>
        <w:t>®</w:t>
      </w:r>
      <w:r>
        <w:rPr>
          <w:rFonts w:ascii="Arial" w:cs="Arial" w:eastAsia="Arial" w:hAnsi="Arial"/>
          <w:sz w:val="17"/>
          <w:szCs w:val="17"/>
          <w:color w:val="auto"/>
        </w:rPr>
        <w:t>, EXCOR</w:t>
      </w:r>
      <w:r>
        <w:rPr>
          <w:rFonts w:ascii="Arial" w:cs="Arial" w:eastAsia="Arial" w:hAnsi="Arial"/>
          <w:sz w:val="24"/>
          <w:szCs w:val="24"/>
          <w:color w:val="auto"/>
          <w:vertAlign w:val="superscript"/>
        </w:rPr>
        <w:t>®</w:t>
      </w:r>
      <w:r>
        <w:rPr>
          <w:rFonts w:ascii="Arial" w:cs="Arial" w:eastAsia="Arial" w:hAnsi="Arial"/>
          <w:sz w:val="17"/>
          <w:szCs w:val="17"/>
          <w:color w:val="auto"/>
        </w:rPr>
        <w:t>, the Color Yellow</w:t>
      </w:r>
      <w:r>
        <w:rPr>
          <w:rFonts w:ascii="Arial" w:cs="Arial" w:eastAsia="Arial" w:hAnsi="Arial"/>
          <w:sz w:val="24"/>
          <w:szCs w:val="24"/>
          <w:color w:val="auto"/>
          <w:vertAlign w:val="superscript"/>
        </w:rPr>
        <w:t>®</w:t>
      </w:r>
      <w:r>
        <w:rPr>
          <w:rFonts w:ascii="Arial" w:cs="Arial" w:eastAsia="Arial" w:hAnsi="Arial"/>
          <w:sz w:val="17"/>
          <w:szCs w:val="17"/>
          <w:color w:val="auto"/>
        </w:rPr>
        <w:t>, NTI ASEAN</w:t>
      </w:r>
      <w:r>
        <w:rPr>
          <w:rFonts w:ascii="Arial" w:cs="Arial" w:eastAsia="Arial" w:hAnsi="Arial"/>
          <w:sz w:val="24"/>
          <w:szCs w:val="24"/>
          <w:color w:val="auto"/>
          <w:vertAlign w:val="superscript"/>
        </w:rPr>
        <w:t>®</w:t>
      </w:r>
      <w:r>
        <w:rPr>
          <w:rFonts w:ascii="Arial" w:cs="Arial" w:eastAsia="Arial" w:hAnsi="Arial"/>
          <w:sz w:val="17"/>
          <w:szCs w:val="17"/>
          <w:color w:val="auto"/>
        </w:rPr>
        <w:t>, MATCH-TECH</w:t>
      </w:r>
      <w:r>
        <w:rPr>
          <w:rFonts w:ascii="Arial" w:cs="Arial" w:eastAsia="Arial" w:hAnsi="Arial"/>
          <w:sz w:val="24"/>
          <w:szCs w:val="24"/>
          <w:color w:val="auto"/>
          <w:vertAlign w:val="superscript"/>
        </w:rPr>
        <w:t>®</w:t>
      </w:r>
      <w:r>
        <w:rPr>
          <w:rFonts w:ascii="Arial" w:cs="Arial" w:eastAsia="Arial" w:hAnsi="Arial"/>
          <w:sz w:val="17"/>
          <w:szCs w:val="17"/>
          <w:color w:val="auto"/>
        </w:rPr>
        <w:t>, COR/SCI</w:t>
      </w:r>
      <w:r>
        <w:rPr>
          <w:rFonts w:ascii="Arial" w:cs="Arial" w:eastAsia="Arial" w:hAnsi="Arial"/>
          <w:sz w:val="24"/>
          <w:szCs w:val="24"/>
          <w:color w:val="auto"/>
          <w:vertAlign w:val="superscript"/>
        </w:rPr>
        <w:t>®</w:t>
      </w:r>
      <w:r>
        <w:rPr>
          <w:rFonts w:ascii="Arial" w:cs="Arial" w:eastAsia="Arial" w:hAnsi="Arial"/>
          <w:sz w:val="17"/>
          <w:szCs w:val="17"/>
          <w:color w:val="auto"/>
        </w:rPr>
        <w:t>, Polymer Energy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Polymer Energy Logo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 well as other marks have been registered in the European Union with several new applications pending.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8" w:name="page9"/>
    <w:bookmarkEnd w:id="8"/>
    <w:p>
      <w:pPr>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NTIC had order backlog of $731,000 as of August 31, 2008 compared to $445,000 as of August 31, 2007. These are orders that are held by NTIC pending release instructions from the customers to be used in just-in-time production. Customers generally place orders on an “as needed” basis and expect delivery within a relatively short period of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NTIC does not carry excess quantities of raw materials or purchased parts because of widespread availability for such materials and parts from various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August 31, 2008, NTIC had 44 full-time employees located in the United States, consisting of 16 in administration, 13 in sales and marketing, 10 in research and development and lab, 4 in production and one responsible for international coordination. There are no unions representing NTIC’s employees and NTIC believes that its relations with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The information on NTIC’s website or any other website is not incorporated by reference into this report and is included as an inactive textual reference only.</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NTIC also makes available, free of charge and through its Internet web site under the “Investor Relations — Corporate Governance” section, to any stockholder who requests, the charters of its board committees and its Code of Ethics, which applies to all of NTIC’s directors, executive officers, including NTIC’s Chief Executive Officer and Chief Financial Officer, and other employees. Requests for copies can be directed to NTIC’s Corporate Secretary at (763) 225-6637.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report contains or incorporates by reference not only historical information, but also forward-looking statements within the meaning of Section 27A of the Securities Act of 1933, as amended, and Section 21E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stockholders and investors to consult any further disclosures it may make on related subjects in its Annual Reports on Form 10-K, Quarterly Reports on Form 10-Q and Current Reports on Form 8-K that NTIC files with or furnishes to the Securities and Exchange Commission.</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financial condition or operating results.</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Current worldwide economic conditions may adversely affect NTIC’s business, operating results and financial condition, as well as further decrease its stock price.</w:t>
      </w:r>
    </w:p>
    <w:p>
      <w:pPr>
        <w:sectPr>
          <w:pgSz w:w="11900" w:h="16838" w:orient="portrait"/>
          <w:cols w:equalWidth="0" w:num="1">
            <w:col w:w="11380"/>
          </w:cols>
          <w:pgMar w:left="240" w:top="125" w:right="279" w:bottom="0" w:gutter="0" w:footer="0" w:header="0"/>
        </w:sectPr>
      </w:pPr>
    </w:p>
    <w:bookmarkStart w:id="9" w:name="page10"/>
    <w:bookmarkEnd w:id="9"/>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General worldwide economic conditions have experienced a downturn due to the effects of the subprime lending crisis, general credit market crisis, collateral effects on the finance and banking industries, concerns about inflation, slower economic activity, decreased consumer confidence, reduced corporate profits and capital spending, adverse business conditions and liquidity concerns. NTIC’s business is not immune. NTIC believes the current worldwide economic crisis has resulted and may continue to result in a further decline in automobile and truck sales, which will likely result in decreased demand for NTIC’s</w:t>
      </w:r>
    </w:p>
    <w:p>
      <w:pPr>
        <w:spacing w:after="0" w:line="2" w:lineRule="exact"/>
        <w:rPr>
          <w:sz w:val="20"/>
          <w:szCs w:val="20"/>
          <w:color w:val="auto"/>
        </w:rPr>
      </w:pPr>
    </w:p>
    <w:p>
      <w:pPr>
        <w:jc w:val="both"/>
        <w:ind w:right="80"/>
        <w:spacing w:after="0" w:line="217"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from its automotive customers. In addition,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from NTIC’s other customers in other industries adversely affected by the current economic crisis, such as the customers in the electronics and retail consumer industries, may also decrease. The worldwide economic crisis also may have other adverse implications on NTIC’s business. For example, the ability of NTIC’s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customers to borrow money from their existing lenders or to obtain credit from other sources to purchase NTIC’s products may be impaired. Although NTIC maintains allowances for doubtful accounts for estimated losses resulting from the inability of its customers to make required payments and such losses have historically been within NTIC’s expectations and the provisions established, NTIC cannot guarantee that it will continue to experience the same loss rates that it has in the past, especially given the current turmoil in the worldwide economy. A significant change in the liquidity or financial condition of NTIC’s customers could cause unfavorable trends in NTIC’s receivable collections and additional allowances may be required, which could adversely affect NTIC’s operating results. In addition, the worldwide economic crisis may adversely impact the ability of suppliers to provide NTIC with materials and components, which could adversely affect NTIC’s business and operating results. Like many other stocks, NTIC’s stock price has decreased recently and if investors have concerns that NTIC’s business, operating results and financial condition will be negatively impacted by a worldwide economic downturn, NTIC’s stock price could further decrease.</w:t>
      </w:r>
    </w:p>
    <w:p>
      <w:pPr>
        <w:spacing w:after="0" w:line="197" w:lineRule="exact"/>
        <w:rPr>
          <w:sz w:val="20"/>
          <w:szCs w:val="20"/>
          <w:color w:val="auto"/>
        </w:rPr>
      </w:pPr>
    </w:p>
    <w:p>
      <w:pPr>
        <w:ind w:right="440"/>
        <w:spacing w:after="0" w:line="222" w:lineRule="auto"/>
        <w:rPr>
          <w:sz w:val="20"/>
          <w:szCs w:val="20"/>
          <w:color w:val="auto"/>
        </w:rPr>
      </w:pPr>
      <w:r>
        <w:rPr>
          <w:rFonts w:ascii="Arial" w:cs="Arial" w:eastAsia="Arial" w:hAnsi="Arial"/>
          <w:sz w:val="18"/>
          <w:szCs w:val="18"/>
          <w:b w:val="1"/>
          <w:bCs w:val="1"/>
          <w:i w:val="1"/>
          <w:iCs w:val="1"/>
          <w:color w:val="auto"/>
        </w:rPr>
        <w:t>The automotive industry in the United States has experienced a significant downturn in recent years thus resulting in decreased demand for NTIC’s ZERUST</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products in the United States, which has adversely affected and may continue to adversely affect NTIC’s net sales from North American operations and net income.</w:t>
      </w:r>
    </w:p>
    <w:p>
      <w:pPr>
        <w:spacing w:after="0" w:line="207"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During the fiscal year ended August 31, 2008, almost 95% of NTIC’s consolidated net sales were derived from the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packaging products and services. Most of these products and services were sold to customers in the automotive industry and to a lesser extent to customers in the electronics, electrical, mechanical, military and retail consumer markets. The automotive industry in the United States has experienced a significant downturn in recent years, especially recently as a result of the current economic crisis, and is not expected to improve in the foreseeable future, which may result in a continued adverse effect on NTIC’s net sales from North American operations and net income. While NTIC intends to increase</w:t>
      </w:r>
    </w:p>
    <w:p>
      <w:pPr>
        <w:spacing w:after="0" w:line="2" w:lineRule="exact"/>
        <w:rPr>
          <w:sz w:val="20"/>
          <w:szCs w:val="20"/>
          <w:color w:val="auto"/>
        </w:rPr>
      </w:pPr>
    </w:p>
    <w:p>
      <w:pPr>
        <w:ind w:right="60"/>
        <w:spacing w:after="0" w:line="205" w:lineRule="auto"/>
        <w:rPr>
          <w:sz w:val="20"/>
          <w:szCs w:val="20"/>
          <w:color w:val="auto"/>
        </w:rPr>
      </w:pPr>
      <w:r>
        <w:rPr>
          <w:rFonts w:ascii="Arial" w:cs="Arial" w:eastAsia="Arial" w:hAnsi="Arial"/>
          <w:sz w:val="18"/>
          <w:szCs w:val="18"/>
          <w:color w:val="auto"/>
        </w:rPr>
        <w:t>marketing efforts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to customers in other target industries, no assurance can be provided that NTIC will be successful in doing so or will recognize increased sales from such new target markets.</w:t>
      </w:r>
    </w:p>
    <w:p>
      <w:pPr>
        <w:spacing w:after="0" w:line="20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technical and other support services and dividend distributions from its corporate joint ventures. No assurance can be provided that NTIC will continue to receive such fees and dividend distributions in amounts NTIC historically has received.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conducts business, either directly or indirectly through holding companies, in 29 corporate joint venture arrangements in North America, South America, Europe, Asia and the Middle East. Each of these joint ventures manufactures, markets and sells finished products in the geographic territory that it is assigned. NTIC’s international business has expanded significantly during the past several fiscal years. Total net sales of all of NTIC’s joint ventures increased 25.7% to $101,279,532 during fiscal 2008 as compared to fiscal 2007. However, NTIC’s receipt of funds as a result of sales by its joint ventures is dependent upon NTIC’s receipt of fees for technical and other support services that NTIC provides to its joint ventures based on the revenues of the joint ventures and NTIC’s receipt of dividend distributions from the joint ventures. As a result of the increase in total net sales of NTIC’s joint ventures, NTIC’s fee income for technical and support services increased 19.7% to $5,956,403 in fiscal 2008 as compared to fiscal 2007. No assurance can be provided that NTIC’s international business as conducted through its corporate joint ventures will continue to expand or be successful in the future. NTIC’s liquidity and financial position rely on NTIC’s receipt of fee income for technical and support services and dividend distributions from its corporate joint ventures. During fiscal 2008, NTIC received approximately $1,983,316 in dividends received from its corporate joint ventures. Because NTIC typically owns only 50% or less of its joint venture entities, NTIC does not control the decisions of these entities regarding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whether to pay dividends and how much in dividends should be paid in any given year. Thus, NTIC cannot guarantee that any of its joint ventures will pay dividends in any given year. The failure of NTIC’s joint ventures to declare dividends or the failure of NTIC to receive fees for technical and other support services in amounts typically expected by NTIC could adversely affect NTIC’s liquidity and financial position.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NTIC intends to invest additional research and development and marketing efforts and resources to expand its existing product lines and the distribution of its products into new target markets, such as the oil and gas industry. No assurance can be provided, however, that NTIC’s investments in such new products and markets will be successful and result in additional revenue.</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an effort to increase net sales, NTIC is expanding its corrosion prevention solution products into new markets, such as the oil and gas industry, and expanding its product lines to include other products, such as additional biodegradable and compostable plastics and plastic recycling technology. During fiscal 2009, NTIC expects to invest additional research and development and marketing efforts and resources into these new product lines and markets. No assurance can be provided that such efforts and investments into NTIC’s new businesses will be successful or that NTIC will be successful in obtaining additional revenue.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emerging new businesses may require additional capital in the future, which may not be available or may be available only on unfavorable terms.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addition, any equity financings may be dilutive to NTIC’s stockholders.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expansion of NTIC’s corrosion prevention solution products into new markets, such as the oil and gas industry, and the expansion of NTIC’s product lines to include other products, such as additional biodegradable and compostable plastics and plastic recycling technology will require significant resources</w:t>
      </w:r>
    </w:p>
    <w:p>
      <w:pPr>
        <w:sectPr>
          <w:pgSz w:w="11900" w:h="16921" w:orient="portrait"/>
          <w:cols w:equalWidth="0" w:num="1">
            <w:col w:w="11400"/>
          </w:cols>
          <w:pgMar w:left="240" w:top="125" w:right="259" w:bottom="0" w:gutter="0" w:footer="0" w:header="0"/>
        </w:sectPr>
      </w:pPr>
    </w:p>
    <w:bookmarkStart w:id="10" w:name="page11"/>
    <w:bookmarkEnd w:id="10"/>
    <w:p>
      <w:pPr>
        <w:spacing w:after="0" w:line="302" w:lineRule="auto"/>
        <w:rPr>
          <w:sz w:val="20"/>
          <w:szCs w:val="20"/>
          <w:color w:val="auto"/>
        </w:rPr>
      </w:pPr>
      <w:r>
        <w:rPr>
          <w:rFonts w:ascii="Arial" w:cs="Arial" w:eastAsia="Arial" w:hAnsi="Arial"/>
          <w:sz w:val="16"/>
          <w:szCs w:val="16"/>
          <w:color w:val="auto"/>
        </w:rPr>
        <w:t>during fiscal 2009 and beyond. To the extent that NTIC’s existing capital, including amounts available under its demand line of credit or other then existing financing arrangements, is insufficient to meet these requirements, NTIC may raise additional capital through financings or additional borrowings. Any equity or debt financing, if available at all, may be on terms that are not favorable to NTIC. Equity financings could result in dilution to NTIC’s stockholders, and the securities issued in any future financings may have rights, preferences and privileges that are senior to those of NTIC’s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NTIC’s emerging new businesses are risky and may not prove to be successful, which could harm NTIC’s operating results and financial condition.</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NTIC is undertaking its emerging new businesses either directly or through joint ventures. Such new businesses are risky and subject to all of the risks inherent in the establishment of a new business enterprise, including:</w:t>
      </w:r>
    </w:p>
    <w:p>
      <w:pPr>
        <w:spacing w:after="0" w:line="170"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absence of an operating history;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225" w:lineRule="exact"/>
        <w:rPr>
          <w:rFonts w:ascii="Arial" w:cs="Arial" w:eastAsia="Arial" w:hAnsi="Arial"/>
          <w:sz w:val="18"/>
          <w:szCs w:val="18"/>
          <w:color w:val="auto"/>
        </w:rPr>
      </w:pPr>
    </w:p>
    <w:p>
      <w:pPr>
        <w:ind w:left="5620" w:right="3780" w:hanging="5288"/>
        <w:spacing w:after="0" w:line="528" w:lineRule="auto"/>
        <w:tabs>
          <w:tab w:leader="none" w:pos="61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expected reliance on third parties for the commercialization of some of the proposed products;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A significant portion of NTIC’s earnings is the result of NTIC’s income from its international corporate joint ventures and holding companies. NTIC’s international business conducted through its corporate joint ventures and holding companies requires management attention and financial resources and exposes NTIC to difficulties and risks presented by international economic, political, legal, accounting and business factors.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sells products and technical services directly and via a network of independent distributors, manufacturers’ representatives and joint ventures in over 50 countries, including countries in North America, South America, Europe, Asia and the Middle East. One of NTIC’s strategic objectives is the continued expansion of its international operations. During the past three fiscal years, NTIC has entered into joint ventures in Indonesia, the Ukraine, Thailand and the United Arab Emirates. The expansion of NTIC’s existing international operations and entry into additional international markets require management attention and financial resources.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81" w:lineRule="exact"/>
        <w:rPr>
          <w:sz w:val="20"/>
          <w:szCs w:val="20"/>
          <w:color w:val="auto"/>
        </w:rPr>
      </w:pPr>
    </w:p>
    <w:p>
      <w:pPr>
        <w:ind w:left="660" w:right="54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70" w:lineRule="exact"/>
        <w:rPr>
          <w:rFonts w:ascii="Arial" w:cs="Arial" w:eastAsia="Arial" w:hAnsi="Arial"/>
          <w:sz w:val="18"/>
          <w:szCs w:val="18"/>
          <w:color w:val="auto"/>
        </w:rPr>
      </w:pPr>
    </w:p>
    <w:p>
      <w:pPr>
        <w:jc w:val="both"/>
        <w:ind w:left="660" w:right="12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ectPr>
          <w:pgSz w:w="11900" w:h="16838" w:orient="portrait"/>
          <w:cols w:equalWidth="0" w:num="1">
            <w:col w:w="11400"/>
          </w:cols>
          <w:pgMar w:left="240" w:top="125" w:right="259" w:bottom="0" w:gutter="0" w:footer="0" w:header="0"/>
        </w:sectPr>
      </w:pPr>
    </w:p>
    <w:bookmarkStart w:id="11" w:name="page12"/>
    <w:bookmarkEnd w:id="11"/>
    <w:p>
      <w:pPr>
        <w:spacing w:after="0" w:line="12"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assurance can be provided that one or more of the factors listed above will not harm its business. Any material decrease in NTIC’s international sales could adversely affect NTIC’s operating results.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reported net income and changes in NTIC’s foreign currency translation adjustments.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9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NTIC adopted accounting policy FASB Interpretation No. 46R (FIN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w:t>
      </w:r>
      <w:r>
        <w:rPr>
          <w:rFonts w:ascii="Arial" w:cs="Arial" w:eastAsia="Arial" w:hAnsi="Arial"/>
          <w:sz w:val="18"/>
          <w:szCs w:val="18"/>
          <w:i w:val="1"/>
          <w:iCs w:val="1"/>
          <w:color w:val="auto"/>
        </w:rPr>
        <w:t>a revision of FIN 46”</w:t>
      </w:r>
      <w:r>
        <w:rPr>
          <w:rFonts w:ascii="Arial" w:cs="Arial" w:eastAsia="Arial" w:hAnsi="Arial"/>
          <w:sz w:val="18"/>
          <w:szCs w:val="18"/>
          <w:color w:val="auto"/>
        </w:rPr>
        <w:t xml:space="preserve"> effective as of May 31, 2005. As a result of FIN 46R, NTIC consolidated React-NTI LLC, one of its corporate joint ventures that is 75% owned by NTIC. If the interpretation of FIN 46R were to change and NTIC were required to fully consolidate its remaining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may also adversely affect the demand for some of NTIC’s products and NTIC’s operating results.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170" w:lineRule="exact"/>
        <w:rPr>
          <w:rFonts w:ascii="Arial" w:cs="Arial" w:eastAsia="Arial" w:hAnsi="Arial"/>
          <w:sz w:val="18"/>
          <w:szCs w:val="18"/>
          <w:color w:val="auto"/>
        </w:rPr>
      </w:pPr>
    </w:p>
    <w:p>
      <w:pPr>
        <w:ind w:left="660" w:right="36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ectPr>
          <w:pgSz w:w="11900" w:h="16850" w:orient="portrait"/>
          <w:cols w:equalWidth="0" w:num="1">
            <w:col w:w="11420"/>
          </w:cols>
          <w:pgMar w:left="240" w:top="125" w:right="239" w:bottom="0" w:gutter="0" w:footer="0" w:header="0"/>
        </w:sectPr>
      </w:pPr>
    </w:p>
    <w:bookmarkStart w:id="12" w:name="page13"/>
    <w:bookmarkEnd w:id="12"/>
    <w:p>
      <w:pPr>
        <w:spacing w:after="0" w:line="103" w:lineRule="exact"/>
        <w:rPr>
          <w:sz w:val="20"/>
          <w:szCs w:val="20"/>
          <w:color w:val="auto"/>
        </w:rPr>
      </w:pPr>
    </w:p>
    <w:p>
      <w:pPr>
        <w:ind w:left="660" w:right="40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depend in large part on its ability to retain these individuals and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NTIC’s current management, other than NTIC’s President and Chief Executive Officer, does not have any material stock ownership in NTIC or any contractual obligation to maintain their employment with NTIC.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w:t>
      </w:r>
    </w:p>
    <w:p>
      <w:pPr>
        <w:sectPr>
          <w:pgSz w:w="11900" w:h="16941" w:orient="portrait"/>
          <w:cols w:equalWidth="0" w:num="1">
            <w:col w:w="11420"/>
          </w:cols>
          <w:pgMar w:left="240" w:top="341" w:right="239" w:bottom="0" w:gutter="0" w:footer="0" w:header="0"/>
        </w:sectPr>
      </w:pPr>
    </w:p>
    <w:bookmarkStart w:id="13" w:name="page14"/>
    <w:bookmarkEnd w:id="13"/>
    <w:p>
      <w:pPr>
        <w:spacing w:after="0" w:line="1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faces intense competition in almost all of its product lines, including from competitors that have substantially greater resources than NTIC does.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which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In addition, increases in prices for raw materials and components used in NTIC’s products could adversely affect NTIC’s operating results.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relies on a limited number of suppliers for certain raw materials and components used in its products. For reasons of quality assurance, cost effectiveness or availability, NTIC procures certain raw materials and components from sole and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NTIC’s dependence on third-party suppliers involves several risks, including limited control over pricing, availability, quality and delivery schedules, as well as manufacturing yields and costs. Suppliers of raw materials and components may decide, or be required, for reasons beyond NTIC’s control to cease supplying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operating results. Increases in prices for raw materials and components used in NTIC’s products could also adversely affect its operating results.</w:t>
      </w:r>
    </w:p>
    <w:p>
      <w:pPr>
        <w:spacing w:after="0" w:line="16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NTIC is currently involved in several litigation matters and an audit matter with the U.S. Internal Revenue Service, which are costly to defend and the resolution of which could have a material adverse effect on NTIC’s operating results and financial position.</w:t>
      </w:r>
    </w:p>
    <w:p>
      <w:pPr>
        <w:spacing w:after="0" w:line="14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NTIC is party to several litigation matters and an audit matter with the U.S. Internal Revenue Service as described in more detail in note 18 to NTIC’s consolidated financial statements. Such litigation and audit matter are costly and may adversely affect NTIC’s operating results and financial condition. In addition, the resolution of such matters may also have a material adverse effect on NTIC’s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related and other recent regulations implemented by the SEC and the NASDAQ Stock Market, are creating challenges for publicly-held companies, including NTIC. NTIC is committed to maintaining high standards of corporate governance and public disclosure. As a result,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required the expenditure of financial and managerial resources in fiscal 2008. Because NTIC’s management was required to complete an assessment of the effectiveness of NTIC’s internal controls over financial reporting in fiscal 2008 and will continue to be required to do so in future years, NTIC expects these expenditures to continue.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has approximately 3.7 million shares of common stock outstanding and approximately 30.7% of the shares are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market price and trading volume of NTIC’s common stock price has fluctuated over a wide range during the past year or so. During fiscal 2008, the sale price of NTIC’s common stock ranged from a low of $6.40 to a high of $20.85, and the daily trading volume ranged from zero shares to 373,800 shares. It is likely that the price and trading volume of NTIC’s common stock will continue to fluctuate in the future. The securities of small capitalization companies,</w:t>
      </w:r>
    </w:p>
    <w:p>
      <w:pPr>
        <w:sectPr>
          <w:pgSz w:w="11900" w:h="16952" w:orient="portrait"/>
          <w:cols w:equalWidth="0" w:num="1">
            <w:col w:w="11420"/>
          </w:cols>
          <w:pgMar w:left="240" w:top="125" w:right="239" w:bottom="0" w:gutter="0" w:footer="0" w:header="0"/>
        </w:sectPr>
      </w:pPr>
    </w:p>
    <w:bookmarkStart w:id="14" w:name="page15"/>
    <w:bookmarkEnd w:id="14"/>
    <w:p>
      <w:pPr>
        <w:ind w:right="320"/>
        <w:spacing w:after="0" w:line="302" w:lineRule="auto"/>
        <w:rPr>
          <w:sz w:val="20"/>
          <w:szCs w:val="20"/>
          <w:color w:val="auto"/>
        </w:rPr>
      </w:pPr>
      <w:r>
        <w:rPr>
          <w:rFonts w:ascii="Arial" w:cs="Arial" w:eastAsia="Arial" w:hAnsi="Arial"/>
          <w:sz w:val="16"/>
          <w:szCs w:val="16"/>
          <w:color w:val="auto"/>
        </w:rPr>
        <w:t>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and financial condition, as well as the market price of its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Although in the past NTIC has paid dividends on its common stock, NTIC has not done so since fiscal 2005.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the common stock increases.</w:t>
      </w:r>
    </w:p>
    <w:p>
      <w:pPr>
        <w:spacing w:after="0" w:line="158"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24.3% of NTIC’s outstanding common stock and is affiliated with NTIC’s President and Chief Executive Officer and thus may be able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November 25, 2008, Inter Alia Holding Company beneficially owned approximately 24.3% of NTIC’s outstanding common stock. Inter Alia is an entity owned by G. Patrick Lynch, NTIC’s President and Chief Executive Officer and a director, and three other members of the Lynch family. Mr. Lynch shares voting and dispositive power of shares of NTIC’s common stock held by Inter Alia Holding Company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Future sales of NTIC common stock by Inter Alia Holding Company or its pledgees if Inter Alia is subject to margin calls could adversely affect NTIC’s stock price.</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November 25, 2008, Inter Alia Holding Company beneficially owned approximately 24.3% of NTIC’s outstanding common stock. After the recent death of Philip M. Lynch, NTIC’s former Chairman of the Board and Chief Executive Officer and a principal shareholder of Inter Alia Holding Company, NTIC learned that Mr. Philip M. Lynch had pledged all of Inter Alia’s NTIC shares to various banks. Depending upon the trading price of NTIC’s common stock, Inter Alia may experience a margin call that could result in the sale of Inter Alia’s pledged shares of NTIC’s common stock by NTIC’s pledgees. Such sales could have an adverse effect on trading price of NTIC’s common stock. In addition, it is NTIC’s understanding that as a result of the recent death of Mr. Philip M. Lynch, Inter Alia intends to diversify its stock holdings by selling a significant portion of its NTIC stock holdings in the public market, in private negotiated transactions and otherwise. There are no contractual restrictions on the ability of Inter Alia to sell shares of NTIC common stock, although sales in the public market will be subject to the volume limitations and other requirements of SEC Rule 144. Pursuant to the volume limitations of Rule 144, an affiliate of NTIC may sell shares under Rule 144 only if the shares to be sold, together with the shares sold under Rule 144 during the past three months, do not exceed the greater of one percent of the issuer’s outstanding shares or the average weekly trading volume of the issuer’s shares during the preceding four calendar weeks. Future sales of NTIC common stock in the public market by Inter Alia could adversely affect the market price of NTIC common stock. Any adverse effect on the market price of NTIC common stock could make it difficult for NTIC to raise additional capital through sales of equity securities at a time and at a price NTIC’s Board of Directors deems appropriate.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NTIC’s principal executive offices, production facilities and domestic research and development operations are currently located at 4201 Woodland Road, Circle Pines, Minnesota 55014.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2006. All of the remaining unpaid principal and accrued interest is due and payable on the maturity date. The loan is secured by a first lien on the real estate and building. NTIC’s management considers NTIC’s current properties suitable and adequate for its current and foreseeable needs.</w:t>
      </w:r>
    </w:p>
    <w:p>
      <w:pPr>
        <w:spacing w:after="0" w:line="16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Mercantile Road, Beachwood, Ohio, comprising approximately two acres of land and a building of approximately 34,000 square feet. The property had an approximate value of $2,205,000, based upon the cash-to-mortgage acquisition price of the property paid in fiscal 2000. NTIC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 Rent expense was $262,232 and $236,572 for the fiscal years ended August 31, 2008 and 2007, respectively. Future minimum rental payments for each of the succeeding fiscal years through fiscal year ending August 31, 2014 are estimated to be approximately $250,000 per year.</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2007, REACT-NTI, LLC (“React LLC”), a company that is 75% owned by NTIC,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Negotiations following the mediation have also been unproductive, and it appears that the stay will be lifted. Accordingly, React LLC will both defend against Shamrock’s allegations and pursue counterclaims against Shamrock for breach of the license agreement and for tortious interference. The parties are presently proceeding with discovery. Because this matter is in the early stage, NTIC cannot estimate the possible loss or range of loss, if any, associated with its resolution. However, th</w:t>
      </w:r>
      <w:r>
        <w:rPr>
          <w:rFonts w:ascii="Arial" w:cs="Arial" w:eastAsia="Arial" w:hAnsi="Arial"/>
          <w:sz w:val="15"/>
          <w:szCs w:val="15"/>
          <w:color w:val="auto"/>
        </w:rPr>
        <w:t>ere can be no assurance that the ultimate resolution of the matter will not</w:t>
      </w:r>
      <w:r>
        <w:rPr>
          <w:rFonts w:ascii="Arial" w:cs="Arial" w:eastAsia="Arial" w:hAnsi="Arial"/>
          <w:sz w:val="16"/>
          <w:szCs w:val="16"/>
          <w:color w:val="auto"/>
        </w:rPr>
        <w:t xml:space="preserve"> </w:t>
      </w:r>
      <w:r>
        <w:rPr>
          <w:rFonts w:ascii="Arial" w:cs="Arial" w:eastAsia="Arial" w:hAnsi="Arial"/>
          <w:sz w:val="15"/>
          <w:szCs w:val="15"/>
          <w:color w:val="auto"/>
        </w:rPr>
        <w:t>result in a material adverse effect on NTIC’s business, financial condition or results of operations.</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NTIC was involved in a legal action in Finland whereby NTIC sued a Finnish company for trademark infringement. Upon initiation of legal action, the courts seized the inventory of the Finnish company as contraband. NTIC won the initial case, but subsequently lost on appeal. On November 19, 2008, NTIC entered into an agreement to settle the lawsuit. Under the terms of the settlement agreement, NTIC agreed to seek an amendment to its trademark YELLOW and to pay the defendant a one-time payment of 320,000 Euro. The defendant agreed, among other things, not to challenge the amendment or the validity of the trademark and not to infringe upon the trademark, once amended. Each party released each other of all claims in connection with the matter. As a result of the settlement, NTIC recorded a $400,000 litigation settlement accrual in its consolidated financial statements for the fiscal year ended August 31,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11, 2008, NTIC entered into an agreement to settle a lawsuit brought by Evelyna Cantwell and Jack Cantwell, individually, and also doing business as the principals of Byrd-Walsh International, LLC, against NTIC and its former Chairman of the Board and Chief Executive Officer, Philip M. Lynch. The lawsuit sought unspecified injunctive relief as well as compensatory and punitive damages in an unspecified amount which, based on the allegations of the complaint, may have been claimed by plaintiffs to be in an amount in excess of $45 million. Under the terms of the settlement agreement, the plaintiffs agreed to dismiss their claims with prejudice and to release NTIC and Mr. Philip M. Lynch from any and all claims, in exchange for a cash payment from NTIC of $41,340, which was paid in fiscal 2008.</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June 2007, the U.S. Internal Revenue Service concluded its audit of NTIC’s U.S. federal income tax returns for fiscal 2004 and 2005. As a result of such audit, NTIC paid the IRS approximately $25,000 in additional payroll taxes. NTIC also agreed in principle with the IRS to adjustments that will result in the additional payment of approximately $60,000 in income tax and interest. As a result of the audit, the IRS has also taken the position that NTIC failed to withhold </w:t>
      </w:r>
      <w:r>
        <w:rPr>
          <w:rFonts w:ascii="Arial" w:cs="Arial" w:eastAsia="Arial" w:hAnsi="Arial"/>
          <w:sz w:val="16"/>
          <w:szCs w:val="16"/>
          <w:color w:val="auto"/>
        </w:rPr>
        <w:t>and has assessed against NTIC</w:t>
      </w:r>
      <w:r>
        <w:rPr>
          <w:rFonts w:ascii="Arial" w:cs="Arial" w:eastAsia="Arial" w:hAnsi="Arial"/>
          <w:sz w:val="17"/>
          <w:szCs w:val="17"/>
          <w:color w:val="auto"/>
        </w:rPr>
        <w:t xml:space="preserve"> approximately $505,000 of payroll taxes and individual income taxes on travel and other expense reimbursements made to Philip M. Lynch, NTIC’s former Chairman of the Board and Chief Executive Officer, and commissions payments made to Inter Alia Holding Co. under that certain former Manufacturer’s Representative Agreement dated as of October 1, 1976 and as subsequently amended thereafter between NTIC and Inter Alia, which agreement has since been terminated. Inter Alia beneficially owns approximately 24.3% of NTIC’s outstanding common stock. G. Patrick Lynch, NTIC’s current President and Chief Executive Officer, as well as three other members of the Lynch family, are shareholders of Inter Alia. G. Patrick Lynch is also the son of the late Philip M. Lynch. NTIC disagrees with the IRS’ position on withholding and is in the process of appealing the matter. Because NTIC believes that it has valid legal grounds for appeal, it has determined that a loss is not probable at this time as defined by SFAS 5,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Contingencies</w:t>
      </w:r>
      <w:r>
        <w:rPr>
          <w:rFonts w:ascii="Arial" w:cs="Arial" w:eastAsia="Arial" w:hAnsi="Arial"/>
          <w:sz w:val="17"/>
          <w:szCs w:val="17"/>
          <w:color w:val="auto"/>
        </w:rPr>
        <w:t>.” However, there can be no assurance that the ultimate resolution of the matter will not result in a material adverse effect 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financial condition or results of operations.</w:t>
      </w:r>
    </w:p>
    <w:p>
      <w:pPr>
        <w:spacing w:after="0" w:line="18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NTIC is involved in various other legal actions arising in the normal course of business. Management is of the opinion that any judgment or settlement resulting from these pending or threatened actions would not have a material adverse effect on NTIC’s financial position or consolidated results of operations.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NTIC’s security holders during the fourth quarter of the fiscal year covered by this report.</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4A.</w:t>
        <w:tab/>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NTIC, their ages and the offices held, as of November 25,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80" w:type="dxa"/>
            <w:vAlign w:val="bottom"/>
          </w:tcPr>
          <w:p>
            <w:pPr>
              <w:spacing w:after="0"/>
              <w:rPr>
                <w:sz w:val="14"/>
                <w:szCs w:val="14"/>
                <w:color w:val="auto"/>
              </w:rPr>
            </w:pPr>
          </w:p>
        </w:tc>
        <w:tc>
          <w:tcPr>
            <w:tcW w:w="6820" w:type="dxa"/>
            <w:vAlign w:val="bottom"/>
          </w:tcPr>
          <w:p>
            <w:pPr>
              <w:ind w:left="2820"/>
              <w:spacing w:after="0"/>
              <w:rPr>
                <w:sz w:val="20"/>
                <w:szCs w:val="20"/>
                <w:color w:val="auto"/>
              </w:rPr>
            </w:pPr>
            <w:r>
              <w:rPr>
                <w:rFonts w:ascii="Arial" w:cs="Arial" w:eastAsia="Arial" w:hAnsi="Arial"/>
                <w:sz w:val="14"/>
                <w:szCs w:val="14"/>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 Patrick Lynch</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80" w:type="dxa"/>
            <w:vAlign w:val="bottom"/>
            <w:tcBorders>
              <w:top w:val="single" w:sz="8" w:color="CCEEFF"/>
            </w:tcBorders>
            <w:shd w:val="clear" w:color="auto" w:fill="CCEEFF"/>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A. Kubik, Ph.D.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Chairman of the Board and Chief Technology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spacing w:after="0"/>
        <w:tabs>
          <w:tab w:leader="none" w:pos="3640" w:val="left"/>
          <w:tab w:leader="none" w:pos="4580" w:val="left"/>
        </w:tabs>
        <w:rPr>
          <w:sz w:val="20"/>
          <w:szCs w:val="20"/>
          <w:color w:val="auto"/>
        </w:rPr>
      </w:pPr>
      <w:r>
        <w:rPr>
          <w:rFonts w:ascii="Arial" w:cs="Arial" w:eastAsia="Arial" w:hAnsi="Arial"/>
          <w:sz w:val="18"/>
          <w:szCs w:val="18"/>
          <w:color w:val="auto"/>
        </w:rPr>
        <w:t>Matthew C. Wolsfeld</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Mr. 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financial and management consulting firm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Dr. Donald A. Kubik has been employed by NTIC since 1978, was appointed Vice Chairman of the Board in September 1999 and Chief Technology Officer in May 2000. In May 2008, Dr. Kubik notified the Board of Directors of NTIC that he intends to retire in June 2009. Dr. Kubik served as Vice President of NTIC from 1979 to September 1999 and as Co-Chief Executive Officer of NTIC from September 1999 to May 2000. Dr. Kubik is responsible for developing the patent that led to NTIC’s introduction of protective plastic film and paper products incorporating volatile corrosion inhibitors. Prior to joining NTIC, Dr. Kubik held a research and development position with Minnesota Mining &amp; Manufacturing Company (3M).</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Officers of NTIC, their ages and the offices held, as of November 25,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4"/>
                <w:szCs w:val="14"/>
                <w:color w:val="auto"/>
              </w:rPr>
            </w:pPr>
          </w:p>
        </w:tc>
        <w:tc>
          <w:tcPr>
            <w:tcW w:w="6840" w:type="dxa"/>
            <w:vAlign w:val="bottom"/>
          </w:tcPr>
          <w:p>
            <w:pPr>
              <w:ind w:left="2820"/>
              <w:spacing w:after="0"/>
              <w:rPr>
                <w:sz w:val="20"/>
                <w:szCs w:val="20"/>
                <w:color w:val="auto"/>
              </w:rPr>
            </w:pPr>
            <w:r>
              <w:rPr>
                <w:rFonts w:ascii="Arial" w:cs="Arial" w:eastAsia="Arial" w:hAnsi="Arial"/>
                <w:sz w:val="14"/>
                <w:szCs w:val="14"/>
                <w:b w:val="1"/>
                <w:bCs w:val="1"/>
                <w:color w:val="auto"/>
              </w:rPr>
              <w:t>Position with NTIC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Efim Ya. Lyublinski</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30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Vice President and Director of New Technologies and Applications Engineering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Vineet R. Dalal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7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Vice President and Director Global Market Development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Gautam Ramdas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7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Vice President and Director Global Market Development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(“Prometey”), St. Petersburg, Russia. Prof. Lyublinski also held a Senior Consulting Position with Osmos Technology, Boston, Massachusetts from 1995 to 1999. Prof. Lyublinski holds 18 patents, is responsible for 64 inventions and has authored 14 books, 148 articles and lectured at more than 100 symposiums, conferences and congresses in the areas of materials science and corrosion. Prof. Lyublinski received the following awards: in 1997, gold medal of the International Exhibition of Patents in Brussels (Belgium). From 1975 to 1986 – three gold, three silver and one bronze medal from the Exhibitions of the Achievements of Russian National Economy.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Mr. Vineet R. Dalal, an employee of NTIC since 2004, </w:t>
      </w:r>
      <w:r>
        <w:rPr>
          <w:rFonts w:ascii="Arial" w:cs="Arial" w:eastAsia="Arial" w:hAnsi="Arial"/>
          <w:sz w:val="17"/>
          <w:szCs w:val="17"/>
          <w:color w:val="auto"/>
        </w:rPr>
        <w:t>Vice President and Director – Global Market Development since November 2005. Prior to joining NTIC,</w:t>
      </w:r>
      <w:r>
        <w:rPr>
          <w:rFonts w:ascii="Arial" w:cs="Arial" w:eastAsia="Arial" w:hAnsi="Arial"/>
          <w:sz w:val="18"/>
          <w:szCs w:val="18"/>
          <w:color w:val="auto"/>
        </w:rPr>
        <w:t xml:space="preserve"> </w:t>
      </w:r>
      <w:r>
        <w:rPr>
          <w:rFonts w:ascii="Arial" w:cs="Arial" w:eastAsia="Arial" w:hAnsi="Arial"/>
          <w:sz w:val="17"/>
          <w:szCs w:val="17"/>
          <w:color w:val="auto"/>
        </w:rPr>
        <w:t>Mr. Dalal was a Principal in the Worldwide Product Development Practice of PRTM, a management consultancy to technology based companies. In this position, Mr. Dalal consulted to several Fortune 500 companies, in the areas of product strategy,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Mr. Gautam Ramdas, an employee of NTIC since 2005, is Vice President and Director – Global Market Development.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7" w:name="page18"/>
    <w:bookmarkEnd w:id="17"/>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80" w:right="12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NTIC’s common stock is listed for trading on the NASDAQ Global Market, under the symbol “NTIC.” NTIC’s common stock has traded on the NASDAQ Global Market since June 30, 2008. From September 1993 to June 29, 2008, NTIC’s common stock traded on The American Stock Exchange under the symbol “NTI.”</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high and low daily sales prices for NTIC’s common stock, as reported by the NASDAQ Global Market, for the fiscal quarter indicated:</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2008:</w:t>
            </w:r>
          </w:p>
        </w:tc>
        <w:tc>
          <w:tcPr>
            <w:tcW w:w="1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Fourth quarter (beginning June 30, 2008)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r>
    </w:tbl>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high and low daily sales prices for NTIC’s common stock, as reported by The American Stock Exchange, for the fiscal quarters indicated:</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Low</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2008:</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Fourth quarter (ending June 29, 2008)</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20.85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15.25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12.00</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12.25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r>
      <w:tr>
        <w:trPr>
          <w:trHeight w:val="216"/>
        </w:trPr>
        <w:tc>
          <w:tcPr>
            <w:tcW w:w="5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10.00</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10.49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NTIC’s Board of Directors declared a cash dividend to NTIC’s stockholders of record as of December 3, 2004 in the amount of $0.07 per share, NTIC’s Board of Directors has not since declared or paid a cash dividend on NTIC’s common stock.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As of August 31, 2008, there were 264 record holders of NTIC’s common stock. This does not include shares held in “street name” or beneficially owned.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the fiscal year covered by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NTIC did not purchase any shares of its common stock or any other equity securities of NTIC during the fourth quarter of the fiscal year covered by this report.</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of Part I, Item 1 entitled “Business” of this report. The following discussion of the results of the operations and financial condition of NTIC should be read in conjunction with NTIC’s consolidated financial statements and the related notes thereto included under Part II, Item 8 entitled “Financial Statements and Supplementary Data” of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Northern Technologies International Corporation develops and markets proprietary environmentally beneficial products and technical services either directly or via a network of joint ventures and independent distributors in over 50 countries. NTIC’s primary business is corrosion prevention. In addition, NTIC has</w:t>
      </w:r>
    </w:p>
    <w:p>
      <w:pPr>
        <w:sectPr>
          <w:pgSz w:w="11900" w:h="16989" w:orient="portrait"/>
          <w:cols w:equalWidth="0" w:num="1">
            <w:col w:w="11380"/>
          </w:cols>
          <w:pgMar w:left="240" w:top="121" w:right="279" w:bottom="0" w:gutter="0" w:footer="0" w:header="0"/>
        </w:sectPr>
      </w:pPr>
    </w:p>
    <w:bookmarkStart w:id="18" w:name="page19"/>
    <w:bookmarkEnd w:id="18"/>
    <w:p>
      <w:pPr>
        <w:ind w:right="140"/>
        <w:spacing w:after="0" w:line="264" w:lineRule="auto"/>
        <w:rPr>
          <w:sz w:val="20"/>
          <w:szCs w:val="20"/>
          <w:color w:val="auto"/>
        </w:rPr>
      </w:pPr>
      <w:r>
        <w:rPr>
          <w:rFonts w:ascii="Arial" w:cs="Arial" w:eastAsia="Arial" w:hAnsi="Arial"/>
          <w:sz w:val="18"/>
          <w:szCs w:val="18"/>
          <w:color w:val="auto"/>
        </w:rPr>
        <w:t>recently launched a new product line of compounds and finished products based on a portfolio of proprietary bio-plastic technologies. NTIC also is in the advanced stages of commercially launching waste plastic to fuel conversion technology and is in various stages of development with respect to several other emerging businesses.</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NTIC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EXCOR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25 years. NTIC also offers worldwide on-site technical consulting for rust and corrosion prevention issues. In North America, NTIC markets its technical services and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 In fiscal 2008, over 94.6% of NTIC’s consolidated net sales were derived from the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EXCOR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packaging products and services.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addition to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NTIC develops and has recently launched a portfolio of bio-based and biodegradable (compostable) polymer resin compounds and finished products under the Natur-Tec™ brand. These products are intended to reduce NTIC’s customers’ carbon footprint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provide environmentally sound disposal options. NTIC’s consolidated net sales in North America for fiscal 2008 included $383,904 in sales of NTIC’s Natur-Tec™ products. In recent years, a combination of market drivers, such as higher petroleum prices, a desire to reduce dependence on foreign oil, increased environmental awareness at the consumer level and regulations banning the use of traditional, petroleum-based plastics, have led to interest in sustainable, renewable resource-based and compostable alternatives to traditional plastics. Natur-Tec™ bio-based and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Unlike competing plastic products claiming to be “degradable” or “oxo-degradable” that only break down into smaller plastic fragments, Natur-Tec™ products are designed to completely biodegrade within 180 days in accordance with the ASTM D6400 standard for compostable plastics and are certified 100 percent biodegradable and compostable by the Biodegradable Products Institute.</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29 corporate joint venture arrangements in North America, South America, Europe, Asia and the Middle East. Each of these joint ventures generally manufactures and markets finished products in the geographic territory that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into diesel, gasoline and mid-distillates, and electronic sensing instruments. NTIC categorizes its joint ventures into two principal areas: industrial chemical and non-industrial chemical.</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international rust and corrosion inhibiting product business has expanded significantly during the past several fiscal years. NTIC has entered into five new corporate joint venture arrangements during the past three fiscal years. Total net sales of all of NTIC’s joint ventures increased 25.7% to $101,279,532 during fiscal 2008 as compared to fiscal 2007 and increased 26.0% during fiscal 2007 as compared to fiscal 2006. NTIC also recognized increased fee income for technical and support services in fiscal 2008 as compared to fiscal 2007 and in fiscal 2007 as compared to fiscal 2006 as a result of the increase in total net sales of the joint ventures. The profits of NTIC’s corporate joint ventures are shared, however, by the respective corporate joint venture owners in accordance with their respective ownership percentages. NTIC’s receipt of funds as a result of sales by its joint ventures are dependent upon NTIC’s receipt of fees for technical and other support services that NTIC provides to its joint ventures based on the revenues of the joint ventures and NTIC’s receipt of dividend distributions from the joint ventures. NTIC typically owns only 50% or less of its joint venture entities and thus does not control the decisions of these entities regarding whether to pay dividends and how much in dividends in any given year. NTIC’s income from its corporate joint ventures and holding companies increased 36.8% to $4,514,601 in fiscal 2008 as compared to fiscal 2007.</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NTIC’s rust and corrosion inhibiting product business has expanded significantly internationally during the past several fiscal years, sales of NTIC’s rust and corrosion inhibiting products in North America have decreased slightly during the past several fiscal years. One of the main markets for NTIC’s rust and corrosion inhibiting products has typically been the automotive industry. While the automotive industry has been growing worldwide, it has been stagnant or contracting in the United States and is not expected to improve in the foreseeable future, especially in light of the current economic conditions on that industry.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an effort to increase net sales, NTIC is in the process of expanding its product line to include additional biodegradable and compostable plastics products, process technology and machinery that converts plastic waste into crude oil and the application of new and existing corrosion inhibiting technology into the oil and gas industry. NTIC intends to distribute and sell products incorporating these new technologies through its North American operations, its existing joint ventures and new joint ventures. During fiscal 2008, NTIC invested $2,532,791 in additional research and development and marketing efforts and resources into these emerging businesses, product lines and markets. Although NTIC recognized $383,904 in sales of Natur-Tec™ for fiscal 2008, no assurance can be provided that such new businesses will be successful or that NTIC will be successful in obtaining additional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NTIC’s consolidated net sales in North America decreased 24.6% during fiscal 2008 as compared to fiscal 2007 primarily as a result of the anticipated loss of its React-NTI, LLC subsidiary’s most significant customer and decreased demand for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partially offset by sales of its new Natur-Tec™ products. As previously disclosed by NTIC, the sales of React-NTI included in NTIC’s consolidated net sales historically have consisted almost entirely of sales by React Inc., a 100% owned subsidiary of React-NTI, of proprietary ink additives to one customer. During fourth quarter of fiscal 2007, this single customer notified React Inc. of the customer’s intent to purchase React’s remaining inventory of ink additives, but that after such inventory was</w:t>
      </w:r>
    </w:p>
    <w:p>
      <w:pPr>
        <w:sectPr>
          <w:pgSz w:w="11900" w:h="16838" w:orient="portrait"/>
          <w:cols w:equalWidth="0" w:num="1">
            <w:col w:w="11420"/>
          </w:cols>
          <w:pgMar w:left="240" w:top="125" w:right="239" w:bottom="0" w:gutter="0" w:footer="0" w:header="0"/>
        </w:sectPr>
      </w:pPr>
    </w:p>
    <w:bookmarkStart w:id="19" w:name="page20"/>
    <w:bookmarkEnd w:id="19"/>
    <w:p>
      <w:pPr>
        <w:spacing w:after="0" w:line="62"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depleted, the customer would not place any future orders with React Inc. React-NTI had consolidated sales of $301,697 for fiscal 2008 compared to sales of $4,784,789 for fiscal 2007. The vast majority of such sales by React-NTI were from React Inc., which had sales of $248,160 during fiscal 2008 compared to sales of $4,716,620 during fiscal 2007. NTIC anticipates no additional sales for React Inc. of its only product, proprietary ink additives, after the fiscal year ended August 31, 2008. Accordingly, the loss of React’s sole customer has had a material adverse impact on NTIC’s consolidated net sales. However, since the profit on React’s sales of the ink additives to this customer was extremely small, the effect on NTIC’s net income during fiscal 2008 was not material.</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Net sales of NTIC’s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decreased 0.4% or $39,090 to $12,005,151 during fiscal 2008 compared to $12,044,241 during fiscal 2007.</w:t>
      </w:r>
    </w:p>
    <w:p>
      <w:pPr>
        <w:spacing w:after="0"/>
        <w:rPr>
          <w:sz w:val="20"/>
          <w:szCs w:val="20"/>
          <w:color w:val="auto"/>
        </w:rPr>
      </w:pPr>
      <w:r>
        <w:rPr>
          <w:rFonts w:ascii="Arial" w:cs="Arial" w:eastAsia="Arial" w:hAnsi="Arial"/>
          <w:sz w:val="18"/>
          <w:szCs w:val="18"/>
          <w:color w:val="auto"/>
        </w:rPr>
        <w:t>Additionally, NTIC’s consolidated net sales in North America during fiscal 2008 included $383,904 from sales of NTIC’s Natur-Tec™ products.</w:t>
      </w:r>
    </w:p>
    <w:p>
      <w:pPr>
        <w:spacing w:after="0" w:line="20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Total net sales of all of NTIC’s joint ventures increased 25.7% to $101,279,532 during fiscal 2008 as compared to $80,551,700 during fiscal 2007. NTIC also recognized increased fee income for technical and support services as a result of the increase in total net sales of the joint ventures. NTIC recognized fee income for technical and support services of $5,956,403 in fiscal 2008 compared to $4,976,194 in fiscal 2007, an increase of 19.7%.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$5,406,766 in direct joint venture expenses in fiscal 2008 as compared to $4,876,928 in fiscal 2007, an increase of 10.9%. NTIC’s equity in income of corporate joint ventures and holding companies increased 18.4% to $3,792,197 in fiscal 2008 as compared to $3,201,621 in fiscal 2007. NTIC’s income from its corporate joint ventures and holding companies increased 36.8% to $4,514,601 in fiscal 2008 as compared to fiscal 2007.</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NTIC sold its 50% ownership interest in its industrial chemical joint venture in Austria during fiscal 2008 for $364,000. NTIC’s industrial chemical joint venture in Germany purchased NTIC’s 50% Austrian joint venture interest and has consolidated the joint venture into its existing business. NTIC’s German joint venture will service the territory and customers of the former Austrian venture in addition to its own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territory and customers. NTIC recorded a gain on the sale of its Austrian joint venture ownership interest of $172,767, as NTIC determined that its interest in the Austrian joint venture entity was non-controlling.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Cost of goods sold as a </w:t>
      </w:r>
      <w:r>
        <w:rPr>
          <w:rFonts w:ascii="Arial" w:cs="Arial" w:eastAsia="Arial" w:hAnsi="Arial"/>
          <w:sz w:val="16"/>
          <w:szCs w:val="16"/>
          <w:color w:val="auto"/>
        </w:rPr>
        <w:t>percentage of net sales decreased to 60.2% in fiscal 2008 as compared to 64.2% for fiscal 2007 primarily as a result of the significant</w:t>
      </w:r>
    </w:p>
    <w:p>
      <w:pPr>
        <w:spacing w:after="0" w:line="35"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decrease of React Inc. sales during fiscal 2008 compared to fiscal 2007, which sales were sold at lower margins than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Natur-Tec™ products.</w:t>
      </w:r>
    </w:p>
    <w:p>
      <w:pPr>
        <w:spacing w:after="0" w:line="2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NTIC spent $2,532,791 in fiscal 2008 and $2,575,325 in fiscal 2007 in connection with its research and development activities. NTIC anticipates that it will spend between $2,800,000 and $3,200,000 in fiscal 2009 on research and development activities related to its new technologies. These fees are accounted for in the “Expenses incurred in support of corporate joint ventures” section of NTIC’s consolidated statements of income.</w:t>
      </w:r>
    </w:p>
    <w:p>
      <w:pPr>
        <w:spacing w:after="0" w:line="16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Net income decreased 20.8% to $2,553,956, or $0.68 per diluted common share, for the year ended August 31, 2008 compared to $3,223,408, or $0.87 per diluted common share, for the year ended August 31, 2007. This decrease was primarily the result of the one-time gain on the sale of assets of land, building and equipment that previously served as NTIC’s corporate headquarters of $724,495 during the year ended August 31, 2007 and a decreased demand of</w:t>
      </w:r>
    </w:p>
    <w:p>
      <w:pPr>
        <w:spacing w:after="0"/>
        <w:rPr>
          <w:sz w:val="20"/>
          <w:szCs w:val="20"/>
          <w:color w:val="auto"/>
        </w:rPr>
      </w:pPr>
      <w:r>
        <w:rPr>
          <w:rFonts w:ascii="Arial" w:cs="Arial" w:eastAsia="Arial" w:hAnsi="Arial"/>
          <w:sz w:val="18"/>
          <w:szCs w:val="18"/>
          <w:color w:val="auto"/>
        </w:rPr>
        <w:t xml:space="preserve">NTIC’s </w:t>
      </w:r>
      <w:r>
        <w:rPr>
          <w:rFonts w:ascii="Arial" w:cs="Arial" w:eastAsia="Arial" w:hAnsi="Arial"/>
          <w:sz w:val="17"/>
          <w:szCs w:val="17"/>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7"/>
          <w:szCs w:val="17"/>
          <w:color w:val="auto"/>
        </w:rPr>
        <w:t>products in the United States, partially offset by increased income from NTIC’s corporate joint ventures and holding companies.</w:t>
      </w:r>
    </w:p>
    <w:p>
      <w:pPr>
        <w:spacing w:after="0" w:line="1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NTIC’s working capital was $4,837,271 at August 31, 2008, including $260,460 in cash and cash equivalents. As of August 31, 2008, NTIC had $86,000 of borrowings under its $2,300,000 demand line of credit. Subsequent to August 31, 2008, NTIC repaid all borrowings under the demand line of credit bringing the outstanding balance as of November 25, 2008 to $0. As of August 31, 2008, $600,000 was committed under the demand line of credit to cover a letter of credit.</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NTIC elected not to pay a cash dividend to its stockholders in fiscal 2007 or fiscal 2008 or thus far in fiscal 2009 in order to preserve cash and make investments in future operations. NTIC expects to meet its future liquidity requirements during at least the next 12 months by using its existing cash and cash equivalents, forecasted cash flows from future operations, anticipated distributions of earnings and technical assistance fees to NTIC from its joint venture investments and funds available through existing or anticipated financing arrangements. In order to take advantage of new product market opportunities to expand its business and increase its revenues, NTIC may decide to finance such opportunities by borrowing under its line of credit or raising additional financing through the issuance of debt or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2008 Compared to Fiscal Year 2007</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NTIC’s results of operations for fiscal 2008 and fiscal 2007. These results of operations exclude the impact of NTIC’s activities with its joint ventures, other than React-NTIC LLC. As explained in more detail in note 1 to NTIC’s consolidated financial statements, the results of React-NTIC LLC are included in NTIC’s consolidated results of operations and thus included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Fiscal</w:t>
            </w:r>
          </w:p>
        </w:tc>
        <w:tc>
          <w:tcPr>
            <w:tcW w:w="400" w:type="dxa"/>
            <w:vAlign w:val="bottom"/>
          </w:tcPr>
          <w:p>
            <w:pPr>
              <w:spacing w:after="0"/>
              <w:rPr>
                <w:sz w:val="14"/>
                <w:szCs w:val="14"/>
                <w:color w:val="auto"/>
              </w:rPr>
            </w:pPr>
          </w:p>
        </w:tc>
        <w:tc>
          <w:tcPr>
            <w:tcW w:w="10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Fiscal</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4"/>
                <w:szCs w:val="14"/>
                <w:color w:val="auto"/>
              </w:rPr>
            </w:pPr>
          </w:p>
        </w:tc>
        <w:tc>
          <w:tcPr>
            <w:tcW w:w="1060" w:type="dxa"/>
            <w:vAlign w:val="bottom"/>
          </w:tcPr>
          <w:p>
            <w:pPr>
              <w:jc w:val="right"/>
              <w:ind w:right="50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80" w:type="dxa"/>
            <w:vAlign w:val="bottom"/>
            <w:tcBorders>
              <w:bottom w:val="single" w:sz="8" w:color="CCEEFF"/>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16,829,030</w:t>
            </w:r>
          </w:p>
        </w:tc>
        <w:tc>
          <w:tcPr>
            <w:tcW w:w="2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2"/>
              </w:rPr>
              <w:t>(4,138,278)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7,638,690</w:t>
            </w: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60.2%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ind w:left="300"/>
              <w:spacing w:after="0"/>
              <w:rPr>
                <w:sz w:val="20"/>
                <w:szCs w:val="20"/>
                <w:color w:val="auto"/>
              </w:rPr>
            </w:pPr>
            <w:r>
              <w:rPr>
                <w:rFonts w:ascii="Arial" w:cs="Arial" w:eastAsia="Arial" w:hAnsi="Arial"/>
                <w:sz w:val="18"/>
                <w:szCs w:val="18"/>
                <w:color w:val="auto"/>
              </w:rPr>
              <w:t>10,799,180</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w w:val="89"/>
              </w:rPr>
              <w:t>(3,160,490)</w:t>
            </w:r>
          </w:p>
        </w:tc>
        <w:tc>
          <w:tcPr>
            <w:tcW w:w="2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0"/>
              </w:rPr>
              <w:t>Fiscal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0"/>
              </w:rPr>
              <w:t>Fiscal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24"/>
                <w:szCs w:val="24"/>
                <w:color w:val="auto"/>
              </w:rPr>
            </w:pPr>
          </w:p>
        </w:tc>
        <w:tc>
          <w:tcPr>
            <w:tcW w:w="106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0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4"/>
                <w:szCs w:val="14"/>
                <w:color w:val="auto"/>
              </w:rPr>
            </w:pPr>
          </w:p>
        </w:tc>
      </w:tr>
      <w:tr>
        <w:trPr>
          <w:trHeight w:val="118"/>
        </w:trPr>
        <w:tc>
          <w:tcPr>
            <w:tcW w:w="12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-800735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-800735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3,120,171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3,214,170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(93,999)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6"/>
              </w:rPr>
              <w:t>General and administrative expenses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3,514,437</w:t>
            </w: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3,083,314</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431,123</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14.0%</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Lab and technical support expenses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174,711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229,988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(55,277)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0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24.6% during fiscal 2008 as compared to fiscal 2007 primarily as a result of the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customer of React Inc. and a slight decrease in demand for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sold to existing and new customers, partially offset by sales of Natur-Tec™ products in fiscal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fiscal 2008 and fiscal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Fiscal 2008</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Fiscal 2007</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383,904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React Inc.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4,716,620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(4,468,460)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16,829,030</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(4,138,278)</w:t>
            </w:r>
          </w:p>
        </w:tc>
        <w:tc>
          <w:tcPr>
            <w:tcW w:w="30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decreased 29.3% in fiscal 2008 compared to fiscal 2007 primarily as a result of the significant decrease in React Inc.</w:t>
      </w:r>
      <w:r>
        <w:rPr>
          <w:rFonts w:ascii="Arial" w:cs="Arial" w:eastAsia="Arial" w:hAnsi="Arial"/>
          <w:sz w:val="17"/>
          <w:szCs w:val="17"/>
          <w:i w:val="1"/>
          <w:iCs w:val="1"/>
          <w:color w:val="auto"/>
        </w:rPr>
        <w:t xml:space="preserve"> </w:t>
      </w:r>
      <w:r>
        <w:rPr>
          <w:rFonts w:ascii="Arial" w:cs="Arial" w:eastAsia="Arial" w:hAnsi="Arial"/>
          <w:sz w:val="17"/>
          <w:szCs w:val="17"/>
          <w:color w:val="auto"/>
        </w:rPr>
        <w:t>sales which were sold at significantly lower margins that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combined with a slight reduction in the gross margin achieved on the core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North America. Cost of sales as a percentage of net sales also decreased to 60.2% in fiscal 2008 compared to 64.2% in fiscal 2007 primarily as a result of an increase in raw material prices, primarily plastic resins.</w:t>
      </w:r>
    </w:p>
    <w:p>
      <w:pPr>
        <w:spacing w:after="0" w:line="20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2.9% in fiscal 2008 compared to the same period in fiscal 2007. Selling expenses as a percentage of net</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fiscal 2008 increased significantly compared to same respective periods in fiscal 2007 due to the decrease in React Inc. sales.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14.0% in fiscal 2008 compared to fiscal 2007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increases in (i) audit and tax expense of $170,000 and (ii) salary and benefits expenses of $160,000, partially offset by a decrease in insurance expense of $30,000. As a percentage of net sales, general and administrative expenses increased significantly to 27.7% in fiscal 2008 compared to 18.3% in fiscal 2007, due to the decrease in React Inc. net sales and the increases in spending noted above.</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salary, bonus and benefits, building expenses, audit and tax and directors fees.</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Lab and Technical Support Expenses</w:t>
      </w:r>
      <w:r>
        <w:rPr>
          <w:rFonts w:ascii="Arial" w:cs="Arial" w:eastAsia="Arial" w:hAnsi="Arial"/>
          <w:sz w:val="17"/>
          <w:szCs w:val="17"/>
          <w:color w:val="auto"/>
        </w:rPr>
        <w:t>. NTIC’s lab and technical support expenses decreased 24.0% in fiscal 2008 compared to the same period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2007. As a percentage of net sales, lab and technical support expenses remained relatively constant at 1.4% in fiscal 2008 and 2007.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Corporate Joint Ventures and Holding Companies</w:t>
      </w:r>
      <w:r>
        <w:rPr>
          <w:rFonts w:ascii="Arial" w:cs="Arial" w:eastAsia="Arial" w:hAnsi="Arial"/>
          <w:sz w:val="17"/>
          <w:szCs w:val="17"/>
          <w:color w:val="auto"/>
        </w:rPr>
        <w:t>. Net sales of NTIC’s corporate joint ventures in fiscal 2008 and fiscal 2007, excluding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React-NTI LLC, were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Fiscal 2008</w:t>
            </w:r>
          </w:p>
        </w:tc>
        <w:tc>
          <w:tcPr>
            <w:tcW w:w="22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Fiscal 2007</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1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100,012,532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78,601,707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1,266,832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International Corporate Joint Ventures and Holding</w:t>
            </w: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Companies sales</w:t>
            </w:r>
          </w:p>
        </w:tc>
        <w:tc>
          <w:tcPr>
            <w:tcW w:w="1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101,279,532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80,551,700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$5,956,403 in fiscal 2008 compared to $4,976,194 in fiscal 2007, an increase of 19.8%. The increase in fees for technical and other support to its corporate joint ventures was due to the significant increase in revenues from the corporate joint ventures as a whole, as well as the foreign currency exchange rate of the U.S. dollar compared to other currencies in which NTIC’s joint ventures conduct business.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2009 or 2010. There was $96,000 of deferred income recorded within other accrued liabilities in fiscal 2008 related to this future conference. The costs associated with these joint venture conferences are offset against the deferral as incurred, generally in the period in which the conference is held and immediately before.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NTIC incurred direct expenses related to its corporate joint ventures and the holding companies of $5,406,766 in fiscal 2008 compared to $4,876,928 in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2007, an increase of 10.9%. These expenses include: product and business development, consulting, travel, technical and marketing services to existing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ventures, legal fees regarding the establishment of new joint ventures, registration and promotion and legal defense of worldwide trademarks and legal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in the filing of patent applications for new technologies to which NTIC acquired certain rights. The increase in direct expenses incurred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NTIC’s corporate joint ventures and holding companies in fiscal 2008 compared to fiscal 2007 was attributable to the (i) legal settlement accrual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Finnish Trademark case of $400,000 in fiscal 2008 (See note 18 entitled “Commitments and Contingencies” to NTIC’s consolidated financial statements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 information) and (ii) an increase in travel and related expenses of $45,000. This increase was partially offset by a decrease in legal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As a percentage of net sales, direct expenses incurred relating to NTIC’s corporate joint ventures and holding companies increased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the decrease in React Inc. net sales for fiscal 2008 compared to fiscal 2007.</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NTIC sold its 50% ownership interest in its industrial chemical joint venture in Austria for $364,000. NTIC’s industrial chemical joint venture in Germany purchased NTIC’s Austrian joint venture ownership interest and has consolidated the Austrian joint venture into its existing business. NTIC’s German joint</w:t>
      </w:r>
    </w:p>
    <w:p>
      <w:pPr>
        <w:sectPr>
          <w:pgSz w:w="11900" w:h="16838" w:orient="portrait"/>
          <w:cols w:equalWidth="0" w:num="1">
            <w:col w:w="11420"/>
          </w:cols>
          <w:pgMar w:left="240" w:top="140" w:right="239" w:bottom="0" w:gutter="0" w:footer="0" w:header="0"/>
        </w:sectPr>
      </w:pPr>
    </w:p>
    <w:bookmarkStart w:id="21" w:name="page22"/>
    <w:bookmarkEnd w:id="21"/>
    <w:p>
      <w:pPr>
        <w:ind w:right="620"/>
        <w:spacing w:after="0" w:line="277" w:lineRule="auto"/>
        <w:rPr>
          <w:sz w:val="20"/>
          <w:szCs w:val="20"/>
          <w:color w:val="auto"/>
        </w:rPr>
      </w:pPr>
      <w:r>
        <w:rPr>
          <w:rFonts w:ascii="Arial" w:cs="Arial" w:eastAsia="Arial" w:hAnsi="Arial"/>
          <w:sz w:val="18"/>
          <w:szCs w:val="18"/>
          <w:color w:val="auto"/>
        </w:rPr>
        <w:t>venture will service the territory and customers of NTIC’s former Austrian joint venture. NTIC recorded a gain on sale of the joint venture interest of $172,767 as NTIC determined its interest in the entity was non-controlling.</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had equity in income of corporate joint ventures and holding companies of $3,792,197 in fiscal 2008 compared to $3,201,621 in fiscal 2007. The increase in equity in income of 18.4% was due to the significant increase in revenue and profitability due to the growth of NTIC’s corporate joint ventures as a whole.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$23,815 in fiscal 2008 compared to $4,165 for fiscal 2007 due primarily to interest income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United Kingdom tax authorities related to interest earned on a tax refund received that covered the period from fiscal 2001 to 2007.</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$123,874 in fiscal 2008 compared to $164,372 for fiscal 2007 due to lower average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levels and decreases in interest rates during fiscal 2008.</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Gain on Sale of Assets</w:t>
      </w:r>
      <w:r>
        <w:rPr>
          <w:rFonts w:ascii="Arial" w:cs="Arial" w:eastAsia="Arial" w:hAnsi="Arial"/>
          <w:sz w:val="17"/>
          <w:szCs w:val="17"/>
          <w:color w:val="auto"/>
        </w:rPr>
        <w:t>. NTIC recognized a gain on sale of assets of $5,529 during fiscal 2008 compared to a gain on sale of assets of $726,295 during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2007, $724,495 of which was due to the sale of land, building and equipment that previously served as NTIC’s corporate headquarters.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decreased to $2,723,956 in fiscal 2008 compared to $3,409,408 in fiscal 2007.</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decreases to $170,000 during fiscal 2008 compared to $186,000 during fiscal 2007. Income tax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based on management’s estimate of NTIC’s annual effective income tax rate. NTIC’s annual effective income tax rate during fiscal 2008 and 2007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2007 Compared to Fiscal Year 2006</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following table sets forth NTIC’s consolidated results of operations for fiscal 2007 and fiscal 2006. These results of operations exclude the impact of NTIC’s activities with its joint ventures, other than React-NTIC LLC. As explained in more detail in note 1 to NTIC’s consolidated financial statements, the results of React-NTIC LLC are included in NTIC’s consolidated results of operations and thus included in the table below.</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Fiscal</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16,829,030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16,604,964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10,799,180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10,346,437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452,743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3,214,170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3,075,072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3,083,314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2,795,194</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288,120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229,988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296,676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(66,688)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bl>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slightly increased 1.3% during fiscal 2007 as compared to fiscal 2006 primarily as a result of an increase in demand</w:t>
      </w:r>
      <w:r>
        <w:rPr>
          <w:rFonts w:ascii="Arial" w:cs="Arial" w:eastAsia="Arial" w:hAnsi="Arial"/>
          <w:sz w:val="16"/>
          <w:szCs w:val="16"/>
          <w:i w:val="1"/>
          <w:iCs w:val="1"/>
          <w:color w:val="auto"/>
        </w:rPr>
        <w:t xml:space="preserve"> </w:t>
      </w:r>
      <w:r>
        <w:rPr>
          <w:rFonts w:ascii="Arial" w:cs="Arial" w:eastAsia="Arial" w:hAnsi="Arial"/>
          <w:sz w:val="16"/>
          <w:szCs w:val="16"/>
          <w:color w:val="auto"/>
        </w:rPr>
        <w:t>of React-NTI products to existing customers partially offset by a decrease in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Net sales of React-NTI products increased $279,012, or 6.2%, to $4,784,789 during fiscal 2007 as compared to fiscal 2006. Net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decreased $54,946 to $12,044,241.</w:t>
      </w:r>
    </w:p>
    <w:p>
      <w:pPr>
        <w:spacing w:after="0" w:line="2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slightly increased 4.4% in fiscal 2007 compared to fiscal 2006 and cost of sales as a percentage of net sales also increased slightly</w:t>
      </w:r>
      <w:r>
        <w:rPr>
          <w:rFonts w:ascii="Arial" w:cs="Arial" w:eastAsia="Arial" w:hAnsi="Arial"/>
          <w:sz w:val="17"/>
          <w:szCs w:val="17"/>
          <w:i w:val="1"/>
          <w:iCs w:val="1"/>
          <w:color w:val="auto"/>
        </w:rPr>
        <w:t xml:space="preserve"> </w:t>
      </w:r>
      <w:r>
        <w:rPr>
          <w:rFonts w:ascii="Arial" w:cs="Arial" w:eastAsia="Arial" w:hAnsi="Arial"/>
          <w:sz w:val="17"/>
          <w:szCs w:val="17"/>
          <w:color w:val="auto"/>
        </w:rPr>
        <w:t>to 64.2% in fiscal 2007 compared to 62.3% in fiscal 2006 primarily as a result of an increase in raw material prices, primarily plastic resins.</w:t>
      </w:r>
    </w:p>
    <w:p>
      <w:pPr>
        <w:spacing w:after="0" w:line="14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4.5% in fiscal 2007 compared in fiscal 2006 primarily as a result of increases in (i) promotional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expense of $40,000, (ii) lab supplies and testing of $55,000, and (iii) selling expense related to the sale of React products of $70,000. These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increases were partially offset by a decrease in commissions to salespeople and manufacturer’s representatives totaling $76,000. As a percentage of net sales, selling expenses increased slightly to 19.1% in fiscal 2007 compared to 18.5% in fiscal 2006, primarily as a result of the increased spending as described above and NTIC’s increased efforts to diversify its product lines and expand the distribution of its new product lines into new industry markets.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10.3% in fiscal 2007 compared to fiscal 2006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increases in (i) information technology expenses of $30,000, (ii) insurance expense of $23,000, (iii) legal expenses of $75,000, (iv) audit and tax expense of $51,000, and (v) depreciation expense of $88,000. These increases were partially offset by a decrease in travel of $29,000. As a percentage of net sales, general and administrative expenses increased slightly to 18.3% in fiscal 2007 compared to 16.8% in fiscal 2006, primarily as a result of the increased spending as described above and NTIC’s increased efforts to support the diversification of its product lines and the expansion of the distribution of its new product lines into new industry markets.</w:t>
      </w:r>
    </w:p>
    <w:p>
      <w:pPr>
        <w:spacing w:after="0" w:line="19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22.5% in fiscal 2007 compared to fiscal 2006 primarily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decreases in (i) salary and wages of $31,000 and (ii) lab supplies and testing of $39,000. As a percentage of net sales, lab and technical support expenses decreased to 1.4% in fiscal 2007 compared to 1.8% in fiscal 2006 primarily as a result of the decreased expenses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Corporate Joint Ventures and Holding Companies</w:t>
      </w:r>
      <w:r>
        <w:rPr>
          <w:rFonts w:ascii="Arial" w:cs="Arial" w:eastAsia="Arial" w:hAnsi="Arial"/>
          <w:sz w:val="17"/>
          <w:szCs w:val="17"/>
          <w:color w:val="auto"/>
        </w:rPr>
        <w:t>. Net sales of NTIC’s corporate joint ventures in fiscal 2007 and fiscal 2006, excluding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React-NTI LLC, were as follows:</w:t>
      </w:r>
    </w:p>
    <w:p>
      <w:pPr>
        <w:sectPr>
          <w:pgSz w:w="11900" w:h="16838" w:orient="portrait"/>
          <w:cols w:equalWidth="0" w:num="1">
            <w:col w:w="11420"/>
          </w:cols>
          <w:pgMar w:left="240" w:top="125" w:right="239" w:bottom="0" w:gutter="0" w:footer="0" w:header="0"/>
        </w:sectPr>
      </w:pPr>
    </w:p>
    <w:bookmarkStart w:id="22" w:name="page23"/>
    <w:bookmarkEnd w:id="22"/>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2007</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2006</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78,601,707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62,266,618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1,949,993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1,692,472</w:t>
            </w:r>
          </w:p>
        </w:tc>
        <w:tc>
          <w:tcPr>
            <w:tcW w:w="100" w:type="dxa"/>
            <w:vAlign w:val="bottom"/>
          </w:tcPr>
          <w:p>
            <w:pPr>
              <w:spacing w:after="0"/>
              <w:rPr>
                <w:sz w:val="18"/>
                <w:szCs w:val="18"/>
                <w:color w:val="auto"/>
              </w:rPr>
            </w:pPr>
          </w:p>
        </w:tc>
      </w:tr>
      <w:tr>
        <w:trPr>
          <w:trHeight w:val="210"/>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80,551,700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63,959,090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NTIC had equity in income of corporate joint ventures and holding companies of $3,201,621 in fiscal 2007 compared to $2,713,096 in fiscal 2006. The increase in equity in income was due to the significant increase in sales and profitability from the corporate joint ventures as a whole due to global product demand.</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NTIC receives fees for technical and other support services it provides to its corporate joint ventures based on the revenues of the individual corporate joint ventures. NTIC recognized fee income for such support of $4,976,194 in fiscal 2007 compared to $4,695,124 in fiscal 2006. The increase in fees for technical and other support to its corporate joint ventures was due to the significant increase in total net sales of the corporate joint ventures and the weakening of the United States dollar.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net sales of corporate joint ventures, excluding React-NTI LLC</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80,551,700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63,959,090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16,592,610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NTIC’s fee income for technical and other support services</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4,976,194</w:t>
            </w:r>
          </w:p>
        </w:tc>
        <w:tc>
          <w:tcPr>
            <w:tcW w:w="1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4,695,124</w:t>
            </w:r>
          </w:p>
        </w:tc>
        <w:tc>
          <w:tcPr>
            <w:tcW w:w="1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281,070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NTIC’s direct expenses incurred related to corporate joint ventures and</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companies</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4,876,928</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5,481,757</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(604,829)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NTIC sponsors a worldwide corporate joint venture conference approximately every two to four years in which all of its corporate joint ventures are invited to participate. The most recent conference was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August 2005 and the next corporate joint venture conference is scheduled to be held in 2009 or 2010. NTIC defers a portion of its technical and other support fees received from its corporate joint ventures in each accounting period leading up to the conference, reflecting that NTIC has not fully earned the payments received during that period. There was $96,000 of deferred income recorded in fiscal 2007 bringing the total deferred accrual for the conference to $192,000 at August 31, 2007. The costs associated with these joint venture conferences are offset against the deferral as incurred, generally in the period in which the conference is held and immediately before.</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$4,876,928 in fiscal 2007 compared to $5,481,757 in fiscal 2006. These expenses include: product and business development, consulting, travel, establishment of a reserve on a note receivable,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decrease in direct expenses incurred relating to NTIC’s corporate joint ventures and holding companies in fiscal 2007 compared to fiscal 2006 was attributable to decreases of</w:t>
      </w:r>
    </w:p>
    <w:p>
      <w:pPr>
        <w:spacing w:after="0" w:line="2" w:lineRule="exact"/>
        <w:rPr>
          <w:sz w:val="20"/>
          <w:szCs w:val="20"/>
          <w:color w:val="auto"/>
        </w:rPr>
      </w:pPr>
    </w:p>
    <w:p>
      <w:pPr>
        <w:jc w:val="both"/>
        <w:ind w:right="440"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forgiveness of $571,000, (ii) consulting expense of $43,000, (iii) legal expense of $64,000, partially offset by increases in (i) expenses related to employee relocation of $32,000, (ii) travel and related expenses of $83,000, (iii) lab supplies and testing of $30,000, and (iv) insurance and group health benefits of $39,000.</w:t>
      </w:r>
    </w:p>
    <w:p>
      <w:pPr>
        <w:spacing w:after="0" w:line="1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$4,165 in fiscal 2007 compared to $34,251 for fiscal 2006 primarily as a result of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cash balances and fewer notes receivable in fiscal 2007.</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$164,372 in fiscal 2007 compared to $94,751 for fiscal 2006 as a result of higher average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NTIC’s revolving line of credit in fiscal 2007 compared to fiscal 2006 and the entering into of the term note in May 2006 in connection with NTIC’s purchase of the real estate and building for its new corporate headquarters.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Assets</w:t>
      </w:r>
      <w:r>
        <w:rPr>
          <w:rFonts w:ascii="Arial" w:cs="Arial" w:eastAsia="Arial" w:hAnsi="Arial"/>
          <w:sz w:val="17"/>
          <w:szCs w:val="17"/>
          <w:color w:val="auto"/>
        </w:rPr>
        <w:t>. NTIC recognized a gain on the sale of land, building and equipment that previously served as NTIC’s corporate headquarters of</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$726,295 during fiscal 2007. This was a one-time sale and no additional gain is anticipated to be recognized relating to the building in the future. NTIC did not recognize any gain on sale of assets during fiscal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to $3,409,408 in fiscal 2007 compared to $1,973,065 in fiscal 2006.</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Income tax expense for fiscal 2007 and fiscal 2006 was calculated based on management’s estimate of NTIC’s annual effective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rate. NTIC’s annual effective income tax rate for fiscal 2007 was lower than the statutory rate primarily due to NTIC’s equity in income of corporate joint ventures being recognized for book purposes based on NTIC’s share of after-tax earnings of these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2008, NTIC’s working capital was $4,837,271, including $260,460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$3,788,777, including $244,499 in cash and cash equivalents, as of August 31, 2007.</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10, 2008, NTIC entered into a Promissory Note Modification Agreement with National City Bank pursuant to which NTIC’s demand line of credit was increased to $2,300,000 and its $1,500,000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w:t>
      </w:r>
    </w:p>
    <w:p>
      <w:pPr>
        <w:sectPr>
          <w:pgSz w:w="11900" w:h="16854" w:orient="portrait"/>
          <w:cols w:equalWidth="0" w:num="1">
            <w:col w:w="11420"/>
          </w:cols>
          <w:pgMar w:left="240" w:top="118" w:right="239" w:bottom="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August 31, 2008, the interest rate was 4.72%. Interest is payable in arrears on the 15th day of each month and on demand. As of August 31, 2008, NTIC had $86,000 of borrowings under its $2,300,000 demand line of credit. Subsequent to August 31, 2008, NTIC repaid all borrowings under the demand line of credit bringing the outstanding balance as of November 24, 2008 to $0. As of August 31, 2008, $600,000 was committed under the demand line of credit to cover a letter of credit.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continue to be adequate to fund its existing operations, capital expenditures, debt repayments and any stock repurchases for at least the next 12 months. In an effort to increase net sales, NTIC is in the process of expanding its product line to include additional biodegradable and compostable plastics products and process technology and machinery that converts plastic waste into crude oil and the application of its corrosion inhibiting technology into the oil and gas industry. During fiscal 2009, NTIC expects to invest additional research and development and marketing efforts and resources into these emerging businesses, product lines and markets.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used in operations during fiscal 2008 was $2,833,214, which resulted principally from equity income of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increases in trade receivables, technical and other services receivables, inventories and gain on sale of an investment and decreases in accounts payable, offset by net income, depreciation and amortization expense and an increase in accrued liabilities. Cash flows used in operations during fiscal 2007 was $717,358, which resulted principally from equity in income from corporate joint ventures, gain on sale of assets, decreases in accounts payable and accrued liabilities and increases in inventories and prepaid expenses, offset by net income, depreciation and amortization expense, and decreases in trade and income tax receivables.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provided by investing activities during fiscal 2008 was $1,666,172, which was comprised of dividends received from corporate joint ventures and the sale of a joint venture, offset by additions to property and equipment, loans made and investment in joint ventures. Net cash provided by investing activities during fiscal 2007 was $1,502,939, which resulted from dividends received from corporate joint ventures, proceeds from the sale of assets and cash received from loans and deposits, offset by additions to property and equipment and investment in joint ventures.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provided by financing activities during fiscal 2008 was $1,183,003, which resulted primarily from bank overdrafts and borrowings made on the demand line of credit and proceeds from NTIC’s employee stock purchase plan, offset by principal payments on the bank loan for NTIC’s corporate headquarters building. Net cash used in financing activities during fiscal 2007 was $840,199, which resulted primarily from repayments on NTIC’s line of credit and bank overdrafts, offset by proceeds from the exercise of stock options.</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Capital Expenditures and Commitments</w:t>
      </w:r>
      <w:r>
        <w:rPr>
          <w:rFonts w:ascii="Arial" w:cs="Arial" w:eastAsia="Arial" w:hAnsi="Arial"/>
          <w:sz w:val="17"/>
          <w:szCs w:val="17"/>
          <w:color w:val="auto"/>
        </w:rPr>
        <w:t>. NTIC had no material lease commitments as of August 31, 2008, except a lease agreement entered into by NTI</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Inc., a subsidiary of NTIC, for approximately 16,994 square feet of office, manufacturing, laboratory and warehouse space in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Beachwood, Ohio, requiring monthly payments of $17,500, which are adjusted annually according to the annual consumer price index, through November 2014.</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moved its corporate headquarters in September 2006.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had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ectPr>
          <w:pgSz w:w="11900" w:h="16838" w:orient="portrait"/>
          <w:cols w:equalWidth="0" w:num="1">
            <w:col w:w="11360"/>
          </w:cols>
          <w:pgMar w:left="240" w:top="125" w:right="299" w:bottom="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Korean won and the English pound against the U.S. dollar. NTIC’s fees for technical support and other services and dividend distributions from these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August 31, 2008, NTIC had $86,000 of borrowings under its $2,300,000 demand line of credit. Subsequent to August 31, 2008, NTIC repaid all borrowings under the demand line of credit bringing the outstanding balance as of November 25, 2008 to $0. As of August 31, 2008, $600,000 was committed under the demand line of credit to cover a letter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NTIC’s consolidated financial statements for related party transaction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Investments in Corporate Joint Ventures</w:t>
      </w:r>
    </w:p>
    <w:p>
      <w:pPr>
        <w:spacing w:after="0" w:line="225" w:lineRule="exact"/>
        <w:rPr>
          <w:sz w:val="20"/>
          <w:szCs w:val="20"/>
          <w:color w:val="auto"/>
        </w:rPr>
      </w:pPr>
    </w:p>
    <w:p>
      <w:pPr>
        <w:jc w:val="both"/>
        <w:ind w:right="800"/>
        <w:spacing w:after="0" w:line="264"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and Northern Technologies Holding Company, LLC, and its 75% owned subsidiary, React-NTI LLC. NTIC’s consolidated financial statements do not include the accounts of any of its corporate joint ventures.</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NTIC’s investments in its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$16,016,347 and $13,602,842 as of August 31, 2008 and 2007,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$10,000 and $30,000 at August 31, 2008 and August 31, 2007,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ectPr>
          <w:pgSz w:w="11900" w:h="16838" w:orient="portrait"/>
          <w:cols w:equalWidth="0" w:num="1">
            <w:col w:w="11420"/>
          </w:cols>
          <w:pgMar w:left="240" w:top="125" w:right="239" w:bottom="0" w:gutter="0" w:footer="0" w:header="0"/>
        </w:sectPr>
      </w:pPr>
    </w:p>
    <w:bookmarkStart w:id="25" w:name="page26"/>
    <w:bookmarkEnd w:id="25"/>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NTIC conducts all foreign transactions based on the U.S. dollar, except for its investments in various foreign corporate joint ventures and holding companies. The exchange rate differential relating to investments in foreign corporate joint ventures and holding companies is accounted for under the requirements of SFAS No. 52, “</w:t>
      </w:r>
      <w:r>
        <w:rPr>
          <w:rFonts w:ascii="Arial" w:cs="Arial" w:eastAsia="Arial" w:hAnsi="Arial"/>
          <w:sz w:val="17"/>
          <w:szCs w:val="17"/>
          <w:i w:val="1"/>
          <w:iCs w:val="1"/>
          <w:color w:val="auto"/>
        </w:rPr>
        <w:t>Foreign Currency Translation</w:t>
      </w:r>
      <w:r>
        <w:rPr>
          <w:rFonts w:ascii="Arial" w:cs="Arial" w:eastAsia="Arial" w:hAnsi="Arial"/>
          <w:sz w:val="17"/>
          <w:szCs w:val="17"/>
          <w:color w:val="auto"/>
        </w:rPr>
        <w:t>.”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December 2004, FASB published FASB Statement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awards, share appreciation rights, and employee share purchase plans. FAS 123(R) is a replacement of FASB Statement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and its related interpretive guidance. The effect of FAS</w:t>
      </w:r>
      <w:r>
        <w:rPr>
          <w:rFonts w:ascii="Arial" w:cs="Arial" w:eastAsia="Arial" w:hAnsi="Arial"/>
          <w:sz w:val="18"/>
          <w:szCs w:val="18"/>
          <w:i w:val="1"/>
          <w:iCs w:val="1"/>
          <w:color w:val="auto"/>
        </w:rPr>
        <w:t xml:space="preserve"> </w:t>
      </w:r>
      <w:r>
        <w:rPr>
          <w:rFonts w:ascii="Arial" w:cs="Arial" w:eastAsia="Arial" w:hAnsi="Arial"/>
          <w:sz w:val="18"/>
          <w:szCs w:val="18"/>
          <w:color w:val="auto"/>
        </w:rPr>
        <w:t>123(R)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FAS 123(R). NTIC implemented FAS 123(R) on September 1, 2006, using the modified prospective transition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7A is inapplicable to NTIC as a smaller reporting company and has been omitted pursuant to Item 305(e) of SEC Regulation S-K.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100" w:type="dxa"/>
            <w:vAlign w:val="bottom"/>
            <w:gridSpan w:val="8"/>
          </w:tcPr>
          <w:p>
            <w:pPr>
              <w:jc w:val="right"/>
              <w:ind w:right="50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8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840" w:type="dxa"/>
            <w:vAlign w:val="bottom"/>
            <w:gridSpan w:val="10"/>
          </w:tcPr>
          <w:p>
            <w:pPr>
              <w:spacing w:after="0"/>
              <w:rPr>
                <w:sz w:val="20"/>
                <w:szCs w:val="20"/>
                <w:color w:val="auto"/>
              </w:rPr>
            </w:pPr>
            <w:r>
              <w:rPr>
                <w:rFonts w:ascii="Arial" w:cs="Arial" w:eastAsia="Arial" w:hAnsi="Arial"/>
                <w:sz w:val="18"/>
                <w:szCs w:val="18"/>
                <w:color w:val="auto"/>
              </w:rPr>
              <w:t>The following items are included herein:</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Financial Statements:</w:t>
            </w:r>
          </w:p>
        </w:tc>
        <w:tc>
          <w:tcPr>
            <w:tcW w:w="280" w:type="dxa"/>
            <w:vAlign w:val="bottom"/>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Report of Independent Registered Public Accounting Firm</w:t>
              </w:r>
            </w:hyperlink>
          </w:p>
        </w:tc>
        <w:tc>
          <w:tcPr>
            <w:tcW w:w="660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82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Consolidated Balance Sheets as of August 31, 2008 and 2007</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Income for the years ended August 31, 2008 and 2007</w:t>
              </w:r>
            </w:hyperlink>
          </w:p>
        </w:tc>
        <w:tc>
          <w:tcPr>
            <w:tcW w:w="48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82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Consolidated Statements of Stockholders’ Equity for the years ended August 31, 2008 and 2007</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Cash Flows for the years ended August 31, 2008 and 2007</w:t>
              </w:r>
            </w:hyperlink>
          </w:p>
        </w:tc>
        <w:tc>
          <w:tcPr>
            <w:tcW w:w="660" w:type="dxa"/>
            <w:vAlign w:val="bottom"/>
            <w:tcBorders>
              <w:top w:val="single" w:sz="8" w:color="0000EE"/>
            </w:tcBorders>
          </w:tcPr>
          <w:p>
            <w:pPr>
              <w:spacing w:after="0"/>
              <w:rPr>
                <w:sz w:val="17"/>
                <w:szCs w:val="17"/>
                <w:color w:val="auto"/>
              </w:rPr>
            </w:pPr>
          </w:p>
        </w:tc>
        <w:tc>
          <w:tcPr>
            <w:tcW w:w="392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82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Notes to Consolidated Financial Statements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47-62</w:t>
            </w:r>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420" w:type="dxa"/>
            <w:vAlign w:val="bottom"/>
            <w:tcBorders>
              <w:top w:val="single" w:sz="8" w:color="0000EE"/>
            </w:tcBorders>
          </w:tcPr>
          <w:p>
            <w:pPr>
              <w:spacing w:after="0"/>
              <w:rPr>
                <w:sz w:val="24"/>
                <w:szCs w:val="24"/>
                <w:color w:val="auto"/>
              </w:rPr>
            </w:pPr>
          </w:p>
        </w:tc>
        <w:tc>
          <w:tcPr>
            <w:tcW w:w="280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as of August 31, 2008 and 2007, and the related consolidated statements of income,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w:t>
      </w:r>
    </w:p>
    <w:p>
      <w:pPr>
        <w:sectPr>
          <w:pgSz w:w="11900" w:h="16989" w:orient="portrait"/>
          <w:cols w:equalWidth="0" w:num="1">
            <w:col w:w="11460"/>
          </w:cols>
          <w:pgMar w:left="240" w:top="125" w:right="199" w:bottom="0" w:gutter="0" w:footer="0" w:header="0"/>
        </w:sectPr>
      </w:pPr>
    </w:p>
    <w:bookmarkStart w:id="26" w:name="page27"/>
    <w:bookmarkEnd w:id="26"/>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Company is not required to have, nor were we engaged to perform, an audit of its internal control over financial reporting. Our audits included consideration of its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2008 and 2007 and the results of their operations and their cash flows for the years then ended, in conformity with accounting principles generally accepted in the United States of America.</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Virchow, Krause &amp; Company,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19,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 AUGUST 31, 2008 AND 2007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4"/>
              </w:rPr>
              <w:t>Trade excluding corporate joint ventures, less allowance for doubtful accounts of $10,000 &amp; $30,000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at August 31, 2008 &amp; 2007, respectively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962,222</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622,420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Trade corporate joint ventures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530,609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42,518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Technical and other services, corporate joint ventures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3,065,738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28,961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2,725,466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636,073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179,766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8,936,522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435,811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r>
              <w:rPr>
                <w:rFonts w:ascii="Arial" w:cs="Arial" w:eastAsia="Arial" w:hAnsi="Arial"/>
                <w:sz w:val="17"/>
                <w:szCs w:val="17"/>
                <w:color w:val="auto"/>
              </w:rPr>
              <w:t>54,565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3,792,461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corporate joint ventures: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Industrial chemical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5,676,876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13,180,576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339,471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837,300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Industrial patents and trademarks,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1,015,321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325,557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398,936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8,638,525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6,068,484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26,296,756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Bank overdrafts</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1,039,757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Current portion of note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31,556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9,319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1,251,522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102,992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r>
              <w:rPr>
                <w:rFonts w:ascii="Arial" w:cs="Arial" w:eastAsia="Arial" w:hAnsi="Arial"/>
                <w:sz w:val="17"/>
                <w:szCs w:val="17"/>
                <w:color w:val="auto"/>
              </w:rPr>
              <w:t>25,858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Deferred joint venture royalties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195,324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3,995,151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647,034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NOTE PAYABLE, NET OF CURRENT PORTION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179,972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1,211,528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3,729,457 and 3,683,016, respectively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r>
              <w:rPr>
                <w:rFonts w:ascii="Arial" w:cs="Arial" w:eastAsia="Arial" w:hAnsi="Arial"/>
                <w:sz w:val="17"/>
                <w:szCs w:val="17"/>
                <w:color w:val="auto"/>
              </w:rPr>
              <w:t>4,556</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5,271,417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18,672,938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16,118,982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2,132,180</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1,454,273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7" w:name="page28"/>
    <w:bookmarkEnd w:id="2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6,151,091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r>
              <w:rPr>
                <w:rFonts w:ascii="Arial" w:cs="Arial" w:eastAsia="Arial" w:hAnsi="Arial"/>
                <w:sz w:val="17"/>
                <w:szCs w:val="17"/>
                <w:color w:val="auto"/>
              </w:rPr>
              <w:t>402,061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31,329,612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26,296,756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Arial" w:cs="Arial" w:eastAsia="Arial" w:hAnsi="Arial"/>
                <w:sz w:val="18"/>
                <w:szCs w:val="18"/>
                <w:color w:val="auto"/>
                <w:w w:val="96"/>
              </w:rPr>
              <w:t>See notes to consolidated financial statements.</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gridSpan w:val="4"/>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460" w:type="dxa"/>
            <w:vAlign w:val="bottom"/>
            <w:gridSpan w:val="1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6"/>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w w:val="97"/>
              </w:rPr>
              <w:t>YEARS ENDED AUGUST 31, 2008 AND 2007</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rPr>
              <w:t>Net sales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12,690,752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16,829,030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7,638,690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5,052,062</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6,029,850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Selling</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3,</w:t>
            </w:r>
            <w:r>
              <w:rPr>
                <w:rFonts w:ascii="Arial" w:cs="Arial" w:eastAsia="Arial" w:hAnsi="Arial"/>
                <w:sz w:val="17"/>
                <w:szCs w:val="17"/>
                <w:color w:val="auto"/>
                <w:w w:val="96"/>
              </w:rPr>
              <w:t>120,171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214,170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ind w:left="34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w:t>
            </w:r>
            <w:r>
              <w:rPr>
                <w:rFonts w:ascii="Arial" w:cs="Arial" w:eastAsia="Arial" w:hAnsi="Arial"/>
                <w:sz w:val="17"/>
                <w:szCs w:val="17"/>
                <w:color w:val="auto"/>
                <w:w w:val="96"/>
              </w:rPr>
              <w:t>514,437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r>
              <w:rPr>
                <w:rFonts w:ascii="Arial" w:cs="Arial" w:eastAsia="Arial" w:hAnsi="Arial"/>
                <w:sz w:val="17"/>
                <w:szCs w:val="17"/>
                <w:color w:val="auto"/>
              </w:rPr>
              <w:t>83,314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Lab and technical support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174,711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6,</w:t>
            </w:r>
            <w:r>
              <w:rPr>
                <w:rFonts w:ascii="Arial" w:cs="Arial" w:eastAsia="Arial" w:hAnsi="Arial"/>
                <w:sz w:val="17"/>
                <w:szCs w:val="17"/>
                <w:color w:val="auto"/>
                <w:w w:val="96"/>
              </w:rPr>
              <w:t>809,319</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527,472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rPr>
              <w:t>NORTH AMERICAN OPERATING LOSS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(1,757,257)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(497,622)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7"/>
          </w:tcPr>
          <w:p>
            <w:pPr>
              <w:spacing w:after="0"/>
              <w:rPr>
                <w:sz w:val="20"/>
                <w:szCs w:val="20"/>
                <w:color w:val="auto"/>
              </w:rPr>
            </w:pPr>
            <w:r>
              <w:rPr>
                <w:rFonts w:ascii="Arial" w:cs="Arial" w:eastAsia="Arial" w:hAnsi="Arial"/>
                <w:sz w:val="18"/>
                <w:szCs w:val="18"/>
                <w:color w:val="auto"/>
                <w:w w:val="95"/>
              </w:rPr>
              <w:t>CORPORATE JOINT VENTURES AND HOLDING COMPANIES: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12"/>
            <w:shd w:val="clear" w:color="auto" w:fill="CCEEFF"/>
          </w:tcPr>
          <w:p>
            <w:pPr>
              <w:ind w:left="34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3,</w:t>
            </w:r>
            <w:r>
              <w:rPr>
                <w:rFonts w:ascii="Arial" w:cs="Arial" w:eastAsia="Arial" w:hAnsi="Arial"/>
                <w:sz w:val="17"/>
                <w:szCs w:val="17"/>
                <w:color w:val="auto"/>
                <w:w w:val="96"/>
              </w:rPr>
              <w:t>908,438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3"/>
          </w:tcPr>
          <w:p>
            <w:pPr>
              <w:ind w:left="340"/>
              <w:spacing w:after="0"/>
              <w:rPr>
                <w:sz w:val="20"/>
                <w:szCs w:val="20"/>
                <w:color w:val="auto"/>
              </w:rPr>
            </w:pPr>
            <w:r>
              <w:rPr>
                <w:rFonts w:ascii="Arial" w:cs="Arial" w:eastAsia="Arial" w:hAnsi="Arial"/>
                <w:sz w:val="18"/>
                <w:szCs w:val="18"/>
                <w:color w:val="auto"/>
                <w:w w:val="94"/>
              </w:rPr>
              <w:t>Equity in income (loss) of industrial non-chemical corporate joint ventures and holding companies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(116,241)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2"/>
              </w:rPr>
              <w:t>Gain on sale of industrial chemical corporate joint venture</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172,767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10"/>
          </w:tcPr>
          <w:p>
            <w:pPr>
              <w:ind w:left="340"/>
              <w:spacing w:after="0"/>
              <w:rPr>
                <w:sz w:val="20"/>
                <w:szCs w:val="20"/>
                <w:color w:val="auto"/>
              </w:rPr>
            </w:pPr>
            <w:r>
              <w:rPr>
                <w:rFonts w:ascii="Arial" w:cs="Arial" w:eastAsia="Arial" w:hAnsi="Arial"/>
                <w:sz w:val="18"/>
                <w:szCs w:val="18"/>
                <w:color w:val="auto"/>
                <w:w w:val="90"/>
              </w:rPr>
              <w:t>Fees for technical support and other services provided to corporate joint ventures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5,956,403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4,976,194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5"/>
              </w:rPr>
              <w:t>Expenses incurred in support of corporate joint ventures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(5,406,766)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(4,876,928)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4,514,601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,300,887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(123,874)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(164,372)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8,407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726,295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2,723,956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2,553,956</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gridSpan w:val="3"/>
          </w:tcPr>
          <w:p>
            <w:pPr>
              <w:ind w:left="5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gridSpan w:val="3"/>
            <w:shd w:val="clear" w:color="auto" w:fill="CCEEFF"/>
          </w:tcPr>
          <w:p>
            <w:pPr>
              <w:ind w:left="520"/>
              <w:spacing w:after="0" w:line="190" w:lineRule="exact"/>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gridSpan w:val="3"/>
          </w:tcPr>
          <w:p>
            <w:pPr>
              <w:ind w:left="5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w:t>
            </w:r>
            <w:r>
              <w:rPr>
                <w:rFonts w:ascii="Arial" w:cs="Arial" w:eastAsia="Arial" w:hAnsi="Arial"/>
                <w:sz w:val="17"/>
                <w:szCs w:val="17"/>
                <w:color w:val="auto"/>
                <w:w w:val="96"/>
              </w:rPr>
              <w:t>714,940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3,661,824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gridSpan w:val="3"/>
            <w:shd w:val="clear" w:color="auto" w:fill="CCEEFF"/>
          </w:tcPr>
          <w:p>
            <w:pPr>
              <w:ind w:left="520"/>
              <w:spacing w:after="0" w:line="190" w:lineRule="exact"/>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3,</w:t>
            </w:r>
            <w:r>
              <w:rPr>
                <w:rFonts w:ascii="Arial" w:cs="Arial" w:eastAsia="Arial" w:hAnsi="Arial"/>
                <w:sz w:val="17"/>
                <w:szCs w:val="17"/>
                <w:color w:val="auto"/>
                <w:w w:val="96"/>
              </w:rPr>
              <w:t>757,492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3,695,166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Arial" w:cs="Arial" w:eastAsia="Arial" w:hAnsi="Arial"/>
                <w:sz w:val="18"/>
                <w:szCs w:val="18"/>
                <w:color w:val="auto"/>
                <w:w w:val="96"/>
              </w:rPr>
              <w:t>See notes to consolidated financial statements.</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gridSpan w:val="4"/>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460" w:type="dxa"/>
            <w:vAlign w:val="bottom"/>
            <w:gridSpan w:val="1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gridSpan w:val="10"/>
          </w:tcPr>
          <w:p>
            <w:pPr>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AUGUST 31, 2008 AND 2007</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2"/>
                <w:szCs w:val="12"/>
                <w:color w:val="auto"/>
              </w:rPr>
            </w:pPr>
          </w:p>
        </w:tc>
        <w:tc>
          <w:tcPr>
            <w:tcW w:w="10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AUGUST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3,618,993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4,272,635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12,895,574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745,164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17,985,753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64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color w:val="auto"/>
              </w:rPr>
              <w:t>Stock issued in lieu of accrued payroll</w:t>
            </w:r>
          </w:p>
        </w:tc>
        <w:tc>
          <w:tcPr>
            <w:tcW w:w="9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37,245</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297,585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298,330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-9591040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-9591040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-2009775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-2009775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8" w:name="page29"/>
    <w:bookmarkEnd w:id="28"/>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26,778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125,381</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125,916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59,545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Comprehensive income, 2007: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 translation adj. (net of</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709,109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709,109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3,223,408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3,223,408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Comprehensive income, 2007</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932,517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BALANCE AT AUGUST 31, 2007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3,683,016</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4,755,146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16,118,982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1,454,273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22,402,061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issued in lieu of accrued payroll</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33,595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333,598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10,600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 purchase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10,846</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75,741</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Stock option expense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96,332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2008: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Foreign currency translation adj. (net of</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tax)</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677,907</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677,907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Comprehensive income, 2008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3,231,863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BALANCE AT AUGUST 31, 2008</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3</w:t>
            </w:r>
            <w:r>
              <w:rPr>
                <w:rFonts w:ascii="Arial" w:cs="Arial" w:eastAsia="Arial" w:hAnsi="Arial"/>
                <w:sz w:val="17"/>
                <w:szCs w:val="17"/>
                <w:color w:val="auto"/>
                <w:w w:val="91"/>
              </w:rPr>
              <w:t>,729,457</w:t>
            </w:r>
          </w:p>
        </w:tc>
        <w:tc>
          <w:tcPr>
            <w:tcW w:w="16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74,556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5,271,417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18,672,938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2,132,180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26,151,091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gridSpan w:val="4"/>
          </w:tcPr>
          <w:p>
            <w:pPr>
              <w:spacing w:after="0"/>
              <w:rPr>
                <w:sz w:val="20"/>
                <w:szCs w:val="20"/>
                <w:color w:val="auto"/>
              </w:rPr>
            </w:pPr>
            <w:r>
              <w:rPr>
                <w:rFonts w:ascii="Arial" w:cs="Arial" w:eastAsia="Arial" w:hAnsi="Arial"/>
                <w:sz w:val="18"/>
                <w:szCs w:val="18"/>
                <w:color w:val="auto"/>
                <w:w w:val="99"/>
              </w:rPr>
              <w:t>See notes to consolidated financial statements.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480" w:type="dxa"/>
            <w:vAlign w:val="bottom"/>
            <w:tcBorders>
              <w:bottom w:val="single" w:sz="8" w:color="010101"/>
            </w:tcBorders>
            <w:gridSpan w:val="2"/>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460" w:type="dxa"/>
            <w:vAlign w:val="bottom"/>
            <w:gridSpan w:val="1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6"/>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YEARS ENDED AUGUST 31, 2008 and 2007</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2,553,956</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3,223,408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to net cash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w w:val="91"/>
              </w:rPr>
              <w:t>Expensing of fair value of stock options vested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96,332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Change in allowance for doubtful accounts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Depreciation expense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54,088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313,719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53,795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Gain on sale of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(726,295)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Minority interest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tcPr>
          <w:p>
            <w:pPr>
              <w:ind w:left="340"/>
              <w:spacing w:after="0"/>
              <w:rPr>
                <w:sz w:val="20"/>
                <w:szCs w:val="20"/>
                <w:color w:val="auto"/>
              </w:rPr>
            </w:pPr>
            <w:r>
              <w:rPr>
                <w:rFonts w:ascii="Arial" w:cs="Arial" w:eastAsia="Arial" w:hAnsi="Arial"/>
                <w:sz w:val="18"/>
                <w:szCs w:val="18"/>
                <w:color w:val="auto"/>
              </w:rPr>
              <w:t>Equity in (income) loss from corporate joint ventures: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Industrial chemical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(3,908,438)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(3,100,891)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520"/>
              <w:spacing w:after="0"/>
              <w:rPr>
                <w:sz w:val="20"/>
                <w:szCs w:val="20"/>
                <w:color w:val="auto"/>
              </w:rPr>
            </w:pPr>
            <w:r>
              <w:rPr>
                <w:rFonts w:ascii="Arial" w:cs="Arial" w:eastAsia="Arial" w:hAnsi="Arial"/>
                <w:sz w:val="18"/>
                <w:szCs w:val="18"/>
                <w:color w:val="auto"/>
              </w:rPr>
              <w:t>Industrial non-chemical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116,241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tcPr>
          <w:p>
            <w:pPr>
              <w:ind w:left="340"/>
              <w:spacing w:after="0"/>
              <w:rPr>
                <w:sz w:val="20"/>
                <w:szCs w:val="20"/>
                <w:color w:val="auto"/>
              </w:rPr>
            </w:pPr>
            <w:r>
              <w:rPr>
                <w:rFonts w:ascii="Arial" w:cs="Arial" w:eastAsia="Arial" w:hAnsi="Arial"/>
                <w:sz w:val="18"/>
                <w:szCs w:val="18"/>
                <w:color w:val="auto"/>
                <w:w w:val="92"/>
              </w:rPr>
              <w:t>Gain on sale of industrial chemical corporate joint venture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(172,767)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joint venture royalties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Change in current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700"/>
              <w:spacing w:after="0"/>
              <w:rPr>
                <w:sz w:val="20"/>
                <w:szCs w:val="20"/>
                <w:color w:val="auto"/>
              </w:rPr>
            </w:pPr>
            <w:r>
              <w:rPr>
                <w:rFonts w:ascii="Arial" w:cs="Arial" w:eastAsia="Arial" w:hAnsi="Arial"/>
                <w:sz w:val="18"/>
                <w:szCs w:val="18"/>
                <w:color w:val="auto"/>
                <w:w w:val="94"/>
              </w:rPr>
              <w:t>Trade excluding corporate joint ventures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(319,802)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Trade corporate joint ventures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9"/>
          </w:tcPr>
          <w:p>
            <w:pPr>
              <w:ind w:left="70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(1,551,599)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(156,385)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52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(1,089,393)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(258,120)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Prepaid expenses and other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r>
              <w:rPr>
                <w:rFonts w:ascii="Arial" w:cs="Arial" w:eastAsia="Arial" w:hAnsi="Arial"/>
                <w:sz w:val="17"/>
                <w:szCs w:val="17"/>
                <w:color w:val="auto"/>
              </w:rPr>
              <w:t>,641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5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(85,921)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(438,483)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544,314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3"/>
          </w:tcPr>
          <w:p>
            <w:pPr>
              <w:ind w:left="7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(2,833,214)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(717,358)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60" w:type="dxa"/>
            <w:vAlign w:val="bottom"/>
            <w:gridSpan w:val="4"/>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 corporate joint ventures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Proceeds from the sale of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2"/>
              </w:rPr>
              <w:t>Dividends received from corporate joint ventures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w:t>
            </w:r>
            <w:r>
              <w:rPr>
                <w:rFonts w:ascii="Arial" w:cs="Arial" w:eastAsia="Arial" w:hAnsi="Arial"/>
                <w:sz w:val="17"/>
                <w:szCs w:val="17"/>
                <w:color w:val="auto"/>
                <w:w w:val="94"/>
              </w:rPr>
              <w:t>983,316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7"/>
          </w:tcPr>
          <w:p>
            <w:pPr>
              <w:ind w:left="160"/>
              <w:spacing w:after="0"/>
              <w:rPr>
                <w:sz w:val="20"/>
                <w:szCs w:val="20"/>
                <w:color w:val="auto"/>
              </w:rPr>
            </w:pPr>
            <w:r>
              <w:rPr>
                <w:rFonts w:ascii="Arial" w:cs="Arial" w:eastAsia="Arial" w:hAnsi="Arial"/>
                <w:sz w:val="18"/>
                <w:szCs w:val="18"/>
                <w:color w:val="auto"/>
                <w:w w:val="94"/>
              </w:rPr>
              <w:t>Proceeds from sale of industrial chemical corporate joint ventures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Loans made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Cash received on loans made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497,179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Decrease in other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Additions to industrial patents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3"/>
          </w:tcPr>
          <w:p>
            <w:pPr>
              <w:ind w:left="700"/>
              <w:spacing w:after="0"/>
              <w:rPr>
                <w:sz w:val="20"/>
                <w:szCs w:val="20"/>
                <w:color w:val="auto"/>
              </w:rPr>
            </w:pPr>
            <w:r>
              <w:rPr>
                <w:rFonts w:ascii="Arial" w:cs="Arial" w:eastAsia="Arial" w:hAnsi="Arial"/>
                <w:sz w:val="18"/>
                <w:szCs w:val="18"/>
                <w:color w:val="auto"/>
                <w:w w:val="94"/>
              </w:rPr>
              <w:t>Net cash provided by investing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1,666,172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60" w:type="dxa"/>
            <w:vAlign w:val="bottom"/>
            <w:gridSpan w:val="4"/>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Bank overdraft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1,039,757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-6810375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-6810375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(29,319)</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(27,311)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borrowings/(repayments) made on line of credit</w:t>
            </w:r>
          </w:p>
        </w:tc>
        <w:tc>
          <w:tcPr>
            <w:tcW w:w="2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86,000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75,925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8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1,183,003</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(840,199)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15,961</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44,499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8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260,460</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244,499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0" w:type="dxa"/>
            <w:vAlign w:val="bottom"/>
          </w:tcPr>
          <w:p>
            <w:pPr>
              <w:jc w:val="right"/>
              <w:ind w:right="241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YEARS ENDED AUGUST 31, 2008 AND 2007</w:t>
      </w:r>
    </w:p>
    <w:p>
      <w:pPr>
        <w:spacing w:after="0" w:line="176" w:lineRule="exact"/>
        <w:rPr>
          <w:sz w:val="20"/>
          <w:szCs w:val="20"/>
          <w:color w:val="auto"/>
        </w:rPr>
      </w:pPr>
    </w:p>
    <w:p>
      <w:pPr>
        <w:ind w:left="860" w:hanging="852"/>
        <w:spacing w:after="0"/>
        <w:tabs>
          <w:tab w:leader="none" w:pos="8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develops and markets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technical services either directly or via a network of joint ventures and independent distributors in over 50 countries. The Company’s primary business is corrosion prevention. In addition, the Company has recently launched a new product line of compounds and finished products based on a portfolio of proprietary bio-plastic technologies. The Company also is in the advanced stages of commercially launching waste plastic to fuel conversion technology and is in various stages of development with respect to several other emerging businesses. The Company’s rust and corrosion inhibiting products and services, which the Company has been selling for over 25 years, are designed primarily for the automotive, electronics, electrical, mechanical, military</w:t>
      </w:r>
    </w:p>
    <w:p>
      <w:pPr>
        <w:spacing w:after="0" w:line="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and retail consumer markets and are sold under the brand names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EXCOR</w:t>
      </w:r>
      <w:r>
        <w:rPr>
          <w:rFonts w:ascii="Arial" w:cs="Arial" w:eastAsia="Arial" w:hAnsi="Arial"/>
          <w:sz w:val="26"/>
          <w:szCs w:val="26"/>
          <w:color w:val="auto"/>
          <w:vertAlign w:val="superscript"/>
        </w:rPr>
        <w:t>®</w:t>
      </w:r>
      <w:r>
        <w:rPr>
          <w:rFonts w:ascii="Arial" w:cs="Arial" w:eastAsia="Arial" w:hAnsi="Arial"/>
          <w:sz w:val="16"/>
          <w:szCs w:val="16"/>
          <w:color w:val="auto"/>
        </w:rPr>
        <w:t>. The Company also offers direct, worldwide on-site technical support on rust and corrosion issues. The Company participates, either directly or indirectly through holding companies, in 29 corporate joint venture arrangements in North America, South America, Europe, Asia and the Middle East. Each of these joint ventures manufactures and markets finished products generally in the geographic location that it is assigned. While most of the Company’s joint ventures currently sell rust and corrosion inhibiting products and custom packaging systems, the Company also has joint ventures that manufacture and market or intend to manufacture and market bio-based additives with both industrial and personal care applications, machinery that converts plastic waste into crude oil, and electronic sensing instruments.</w:t>
      </w:r>
    </w:p>
    <w:p>
      <w:pPr>
        <w:spacing w:after="0" w:line="18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 xml:space="preserve">Sales Originating in North America </w:t>
      </w:r>
      <w:r>
        <w:rPr>
          <w:rFonts w:ascii="Arial" w:cs="Arial" w:eastAsia="Arial" w:hAnsi="Arial"/>
          <w:sz w:val="18"/>
          <w:szCs w:val="18"/>
          <w:color w:val="auto"/>
        </w:rPr>
        <w:t>– The Company considers sales originating in North America to be all sales shipped/invoiced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located in Minnesota and Ohio. There are no sales from the Corporate Joint Ventures included in the amount, as the Company’s investments in Corporate Joint Ventures are accounted for using the equity method, except for React-NTI LLC.</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 The Company reviews customers’ credit histories before extending unsecured credit and establishes an allowance for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based upon factors surrounding the credit risk of specific customers and other information. Accounts receivable over 30 days are considered past due for most customers. The Company does not accrue interest on past due accounts receivable. If accounts receivable in excess of the provided allowance are determined uncollectible, they are charged to expense in the year that determination is made. Accounts receivable are deemed uncollectible based on the Company exhausting reasonable efforts to collect. Accounts receivable have been reduced by an allowance for uncollectible accounts of $10,000 and $30,000 on August 31, 2008 and 2007,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 Inventories are recorded at the lower of cost (first-in, first-out basis) or market.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tbl>
      <w:tblPr>
        <w:tblLayout w:type="fixed"/>
        <w:tblInd w:w="290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5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5-30 years</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580" w:type="dxa"/>
            <w:vAlign w:val="bottom"/>
          </w:tcPr>
          <w:p>
            <w:pPr>
              <w:ind w:left="580"/>
              <w:spacing w:after="0"/>
              <w:rPr>
                <w:sz w:val="20"/>
                <w:szCs w:val="20"/>
                <w:color w:val="auto"/>
              </w:rPr>
            </w:pPr>
            <w:r>
              <w:rPr>
                <w:rFonts w:ascii="Arial" w:cs="Arial" w:eastAsia="Arial" w:hAnsi="Arial"/>
                <w:sz w:val="18"/>
                <w:szCs w:val="18"/>
                <w:color w:val="auto"/>
              </w:rPr>
              <w:t>3-10 years</w:t>
            </w:r>
          </w:p>
        </w:tc>
      </w:tr>
    </w:tbl>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Investments in Corporate Joint Ventures </w:t>
      </w:r>
      <w:r>
        <w:rPr>
          <w:rFonts w:ascii="Arial" w:cs="Arial" w:eastAsia="Arial" w:hAnsi="Arial"/>
          <w:sz w:val="18"/>
          <w:szCs w:val="18"/>
          <w:color w:val="auto"/>
        </w:rPr>
        <w:t>- Investments in Corporate Joint Ventures are accounted for using the equity method, except React-NTI LLC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consolidated (see below). 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Recoverability of Long-Lived Assets </w:t>
      </w:r>
      <w:r>
        <w:rPr>
          <w:rFonts w:ascii="Arial" w:cs="Arial" w:eastAsia="Arial" w:hAnsi="Arial"/>
          <w:sz w:val="16"/>
          <w:szCs w:val="16"/>
          <w:color w:val="auto"/>
        </w:rPr>
        <w:t>- The Company reviews its long-lived assets whenever events or changes in circumstances indicate the carrying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the Company would determine whether an impairment loss should be recognized. An impairment loss would be measured by</w:t>
      </w:r>
    </w:p>
    <w:p>
      <w:pPr>
        <w:sectPr>
          <w:pgSz w:w="11900" w:h="16838" w:orient="portrait"/>
          <w:cols w:equalWidth="0" w:num="1">
            <w:col w:w="11460"/>
          </w:cols>
          <w:pgMar w:left="240" w:top="125" w:right="199" w:bottom="0" w:gutter="0" w:footer="0" w:header="0"/>
        </w:sectPr>
      </w:pPr>
    </w:p>
    <w:bookmarkStart w:id="30" w:name="page31"/>
    <w:bookmarkEnd w:id="30"/>
    <w:p>
      <w:pPr>
        <w:ind w:right="140"/>
        <w:spacing w:after="0" w:line="277" w:lineRule="auto"/>
        <w:rPr>
          <w:sz w:val="20"/>
          <w:szCs w:val="20"/>
          <w:color w:val="auto"/>
        </w:rPr>
      </w:pPr>
      <w:r>
        <w:rPr>
          <w:rFonts w:ascii="Arial" w:cs="Arial" w:eastAsia="Arial" w:hAnsi="Arial"/>
          <w:sz w:val="18"/>
          <w:szCs w:val="18"/>
          <w:color w:val="auto"/>
        </w:rPr>
        <w:t>comparing the amount by which the carrying value exceeds the fair value of the asset. For the years ended August 31, 2008 and 2007, the Company did not record any impairment charges.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Northern Technologies International Corporation,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subsidiaries, NTI Facilities, Inc. and Northern Technologies Holding Company, LLC, and its 75% owned subsidiary React-NTI LLC. All significant intercompany transactions and balances have been eliminated in consolidation.</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 The Company utilizes the liability method of accounting for income taxes as set forth in Statement of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109, Accounting for Income Taxes. SFAS No. 109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each international corporate joint venture is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8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 In recognizing revenue, the Company applies the provisions of the Securities and Exchange Commission Staff Accounting Bulletin</w:t>
      </w:r>
      <w:r>
        <w:rPr>
          <w:rFonts w:ascii="Arial" w:cs="Arial" w:eastAsia="Arial" w:hAnsi="Arial"/>
          <w:sz w:val="17"/>
          <w:szCs w:val="17"/>
          <w:i w:val="1"/>
          <w:iCs w:val="1"/>
          <w:color w:val="auto"/>
        </w:rPr>
        <w:t xml:space="preserve"> </w:t>
      </w:r>
      <w:r>
        <w:rPr>
          <w:rFonts w:ascii="Arial" w:cs="Arial" w:eastAsia="Arial" w:hAnsi="Arial"/>
          <w:sz w:val="17"/>
          <w:szCs w:val="17"/>
          <w:color w:val="auto"/>
        </w:rPr>
        <w:t>104, Revenue Recognition. The Company recognizes revenue from the sale of its products when persuasive evidence of an arrangement exists, the product has been delivered, the fee is fixed and determinable and collection of the resulting receivable is reasonably assured.</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expenses approximate fair value because of the short maturity of those instruments. The fair value of the Company’s long-term debt approximates the carrying values based upon current market rates of interest.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The Company expenses all costs related to product research and development as incurred. The Company spent $2,532,791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2008 and $2,575,325 in fiscal 2007 in connection with its research and development activities. These fees are accounted for in the “Expenses incurred in support of corporate joint ventures” section of the income statements.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860" w:hanging="852"/>
        <w:spacing w:after="0"/>
        <w:tabs>
          <w:tab w:leader="none" w:pos="8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 48</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Financial Accounting Standards Board (FASB) has published FASB Interpretation (FIN) No. 48 (FIN No. 48), “Accounting for Uncertainty in Income Taxes,” to address the noncomparability in reporting tax assets and liabilities resulting from a lack of specific guidance in FASB Statement of Financial Accounting Standards (SFAS) No. 109 (SFAS No. 109), “Accounting for Income Taxes,” on the uncertainty in income taxes recognized in an enterprise’s financial statements. Specifically, FIN No. 48 prescribes (a) a consistent recognition threshold and (b) a measurement attribute for the financial statement recognition and measurement of a tax position taken or expected to be taken in a tax return, and provides related guidance on de-recognition, classification, interest, and penalties, accounting in interim periods, disclosure, and transition. FIN No. 48 applies to fiscal years beginning after December 15, 2006, with earlier adoption permitted. The Company adopted FIN No. 48 in the first quarter of fiscal year 2008 and the adoption did not have a material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SFAS 160</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4, 2007, the FASB issued FASB Statement No. 160, “Noncontrolling Interests in Consolidated Financial Statements” - An Amendment of ARB No. 51 (Statement 160). Statement 160 establishes new accounting and reporting standards for the noncontrolling interest in a subsidiary and for the deconsolidation of a subsidiary. Specifically,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Statement 160 clarifies that changes in a parent’s ownership interest in a subsidiary that do not result in deconsolidation are equity transactions if the parent retains its controlling financial interest. In addition, this statement requires that a parent recognize a gain or loss in net income when a subsidiary is deconsolidated. Such gain or loss will be measured using the fair value of the noncontrolling equity investment on the deconsolidation date. Statement 160 also includes expanded disclosure requirements regarding the interests of the parent and its noncontrolling interest. Statement 160 is effective for fiscal years, and interim periods within those fiscal years, beginning after June 30, 2008. Earlier adoption is prohibited. The Company does not believe the adoption of Statement 160 will have a material effect on its results of operations or financial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SFAS 141R</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December 2007, the FASB issued Statement of Financial Accounting Standards (SFAS) No. 141, (Revised 2007), “Business Combinations” (SFAS 141 (Revised 2007)). While this statement retains the fundamental requirement of SFAS 141 that the acquisition method of accounting (which SFAS 141 called</w:t>
      </w:r>
    </w:p>
    <w:p>
      <w:pPr>
        <w:sectPr>
          <w:pgSz w:w="11900" w:h="16838" w:orient="portrait"/>
          <w:cols w:equalWidth="0" w:num="1">
            <w:col w:w="11400"/>
          </w:cols>
          <w:pgMar w:left="240" w:top="125" w:right="259" w:bottom="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color w:val="auto"/>
        </w:rPr>
        <w:t>the purchase method) be used for all business combinations, SFAS 141 (Revised 2007) now establishes the principles and requirements for how an acquirer in a business combination: recognizes and measures in its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identifiable assets acquired, the liabilities assumed, and any noncontrolling interests in the acquired; recognizes and measures the goodwill acquired in the business combination or the gain from a bargain purchase; and determines what information should be disclosed in the financial statements to enable users of the financial statements to evaluate the nature and financial effects of the business combination. SFAS 141 (Revised 2007) is effective for fiscal years beginning on or after December 15, 2008. The Company does not believe the adoption of SFAS 141 will have a material effect on its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SFAS 161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March 2008, the FASB issued Statement No. 161 (SFAS 161), “Disclosures about Derivative Instruments and Hedging Activities.” SFAS 161 requires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 disclosures related to the use of derivative instruments, the accounting for derivatives and how derivatives impact financial statements. SFAS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161 is effective for fiscal years and interim periods beginning after November 15, 2008. The Company does not expect the adoption of SFAS 161 to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material effect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SFAS 162</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May 2008, the FASB issued Statements of Financial Standards No. 162 (SFAS 162), “The Hierarchy of Generally Accepted Accounting Principles.” SFAS 162 is intended to improve financial reporting by identifying a consistent framework, or hierarchy, for selecting accounting principles to be used in preparing financial statements that are presented in conformity with U.S. generally accepted accounting principles (GAAP) for nongovernmental entities.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Prior to the issuance of SFAS 162, GAAP hierarchy was defined in the American Institute of Certified Public Accountants (AICPA) Statement on Auditing Standards No. 69 (SAS 69), “The Meaning of Present Fairly in Conformity With Generally Accepted Accounting Principles.” SAS 69 has been criticized because it is directed to the auditor rather than the entity. SFAS 162 addresses these issues by establishing that the GAAP hierarchy should be directed to entities because it is the entity (not its auditor) that is responsible for selecting accounting principles for financial statements that are presented in conformity with GAAP.</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SFAS 162 is effective 60 days following the SEC’s approval of the Public Company Accounting Oversight Board Auditing amendments to AU Section 411, “The Meaning of Present Fairly in Conformity with Generally Accepted Accounting Principles.” It is only effective for nongovernmental entities; therefore, the GAAP hierarchy will remain in SAS 69 for state and local government entities and federal governmental entities. The Company does not expect SFAS 162 to have a material effect on its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SFAS 163</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May 2008, the FASB issued Statements of Financial Standards No. 163 (SFAS 163), “Accounting for Financial Guarantee Insurance Contracts.” SFAS 163 provides enhanced guidance on the recognition and measurement to be used to account for premium revenue and claim liabilities and related disclosures and is limited to financial guarantee insurance (and reinsurance) contracts, issued by enterprises included within the scope of FASB Statement No. 60, “Accounting and Reporting by Insurance Enterprises”. SFAS 163 also requires that an insurance enterprise recognize a claim liability prior to an event of default when there is evidence that credit deterioration has occurred in an insured financial obligation. SFAS 163 is effective for financial statements issued for fiscal years and interim periods beginning December 15, 2008, with early application not permitted. The Company does not expect SFAS 163 to have an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60" w:hanging="852"/>
        <w:spacing w:after="0"/>
        <w:tabs>
          <w:tab w:leader="none" w:pos="8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 free interest rate is based on U.S. treasury rates appropriate for the expected term. Dividend yield and expected volatility are estimated using historical amounts that are anticipated to be consistent with current values. Expected life of option is based on the life of the option agreements. Based on these valuations, the Company recognized compensation expense of $96,332 and $59,545 during fiscal 2008 and 2007, respectively, related to the options that vested during such time period. As of August 31, 2008, the total compensation cost for nonvested options not yet recognized in the Company’s statements of income was $95,081, net of estimated forfeitures which were $0 as of August 31, 2008. That cost is expected to be recognized over an expected weighted-average period of 1.45 years. Stock-based compensation expense of $52,494 and $42,587 are expected to be recognized during fiscal 2009 and 2010, respectively. Future option grants will impact the compensation expense recognized.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August 31, 2008</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August 31, 2007</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4.68%</w:t>
            </w:r>
          </w:p>
        </w:tc>
      </w:tr>
    </w:tbl>
    <w:p>
      <w:pPr>
        <w:spacing w:after="0" w:line="18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ectPr>
          <w:pgSz w:w="11900" w:h="16838" w:orient="portrait"/>
          <w:cols w:equalWidth="0" w:num="1">
            <w:col w:w="11420"/>
          </w:cols>
          <w:pgMar w:left="240" w:top="125"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Inventories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b w:val="1"/>
                <w:bCs w:val="1"/>
                <w:color w:val="auto"/>
              </w:rPr>
              <w:t>August 31, 2008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0"/>
              </w:rPr>
              <w:t>August 31, 2007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183,658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Finished goods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,685,917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452,415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1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1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1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August 31, 2008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August 31, 2007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2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3,031,103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3,048,103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1,608,570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1,274,707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4,950,038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4,633,175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(1,195,473)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(840,714)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3,754,565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3,792,461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recognized a gain on the sale of land, building and equipment that previously served as its corporate headquarters of $726,295 during fiscal 2007. This was a one-time sale and no additional gain is anticipated to be recognized relating to the building in the future as the entire sale was received in cash and the Company does not have any continued interest in the property sold.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60" w:hanging="852"/>
        <w:spacing w:after="0"/>
        <w:tabs>
          <w:tab w:leader="none" w:pos="8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August 31, 2008</w:t>
            </w: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August 31, 2007</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1,580,172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(564,851)</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(429,003)</w:t>
            </w:r>
          </w:p>
        </w:tc>
      </w:tr>
      <w:tr>
        <w:trPr>
          <w:trHeight w:val="210"/>
        </w:trPr>
        <w:tc>
          <w:tcPr>
            <w:tcW w:w="488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Patent and trademark costs are amortized over seven years once it is filed and approved. Amortization expense was $135,848 and $146,750 for the years ended August 31, 2008 and 2007, respectively. Amortization expense is estimated to approximate $140,000 in each of the next five fiscal years.</w:t>
      </w:r>
    </w:p>
    <w:p>
      <w:pPr>
        <w:spacing w:after="0" w:line="12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August 31,</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August 31,</w:t>
            </w:r>
          </w:p>
        </w:tc>
      </w:tr>
      <w:tr>
        <w:trPr>
          <w:trHeight w:val="171"/>
        </w:trPr>
        <w:tc>
          <w:tcPr>
            <w:tcW w:w="6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51,847,643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42,767,569</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58,958,102</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r>
              <w:rPr>
                <w:rFonts w:ascii="Arial" w:cs="Arial" w:eastAsia="Arial" w:hAnsi="Arial"/>
                <w:sz w:val="17"/>
                <w:szCs w:val="17"/>
                <w:color w:val="auto"/>
              </w:rPr>
              <w:t>312,491</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20,424,810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14,939,496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r>
              <w:rPr>
                <w:rFonts w:ascii="Arial" w:cs="Arial" w:eastAsia="Arial" w:hAnsi="Arial"/>
                <w:sz w:val="17"/>
                <w:szCs w:val="17"/>
                <w:color w:val="auto"/>
              </w:rPr>
              <w:t>756,650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4,971,199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33,776,642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29,401,796</w:t>
            </w: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Corporate Joint Ventures’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equity</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16,016,347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13,602,842</w:t>
            </w:r>
          </w:p>
        </w:tc>
      </w:tr>
      <w:tr>
        <w:trPr>
          <w:trHeight w:val="34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August 31,</w:t>
            </w: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August 31,</w:t>
            </w:r>
          </w:p>
        </w:tc>
      </w:tr>
      <w:tr>
        <w:trPr>
          <w:trHeight w:val="171"/>
        </w:trPr>
        <w:tc>
          <w:tcPr>
            <w:tcW w:w="6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101,279,532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80,551,700</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44,224,644</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37,395,480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401,755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6,439,108</w:t>
            </w: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 income of</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Corporate Joint Ventures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3,792,197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3,201,621</w:t>
            </w:r>
          </w:p>
        </w:tc>
      </w:tr>
    </w:tbl>
    <w:p>
      <w:pPr>
        <w:spacing w:after="0" w:line="202"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country of domicile. Amounts related to foreign joint ventures reported in the above tables and the accompanying financial statements have been adjusted to approximate U.S. GAAP in all material respects.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2008, the Company invested in corporate joint ventures as follows: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fiscal 2008, the Company invested $87,950 in a non-industrial chemical joint venture in Thailand in addition to $143,000 previously invested in December 2006. The Company has a 50% ownership interest in the Thailand joint venture entity. The Thailand joint venture entity had no operations prior to the Company’s investment in December 2006. The total contributions made by both owners of the Thailand joint venture were $461,900 as of May 31, 2008.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33" w:name="page34"/>
    <w:bookmarkEnd w:id="33"/>
    <w:p>
      <w:pPr>
        <w:ind w:right="280"/>
        <w:spacing w:after="0" w:line="264" w:lineRule="auto"/>
        <w:rPr>
          <w:sz w:val="20"/>
          <w:szCs w:val="20"/>
          <w:color w:val="auto"/>
        </w:rPr>
      </w:pPr>
      <w:r>
        <w:rPr>
          <w:rFonts w:ascii="Arial" w:cs="Arial" w:eastAsia="Arial" w:hAnsi="Arial"/>
          <w:sz w:val="18"/>
          <w:szCs w:val="18"/>
          <w:color w:val="auto"/>
        </w:rPr>
        <w:t>During fiscal 2008, the Company invested $30,000 in to its consumer products joint venture to be used for working capital. The Company has a 50% ownership interest in its consumer products joint venture entity. The total contributions made by both owners of the consumer products joint venture were $60,000 as of May 31, 2008.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2008, the Company sold its 50% interest in its industrial chemical joint venture in Austria for $364,000. The Company’s industrial chemical joint venture in Germany purchased the Company’s 50% joint venture interest and has consolidated the Austrian joint venture entity into its existing business. The Company recorded a gain on the sale of $172,767, as the Company has determined its interest in the entity was non-controlling under EITF 02-05 “Definition of Common Control in relation to FASB Statement 141”.</w:t>
      </w:r>
    </w:p>
    <w:p>
      <w:pPr>
        <w:spacing w:after="0" w:line="18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both August 31, 2008 and August 31, 2007 was $304,000.</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10, 2008, the Company entered into a Promissory Note Modification Agreement with National City Bank pursuant to which the Company’s demand line of credit was 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 August 31, 2008, the interest rate was 4.72% and the weighted average rate was 7.18% for the year ended August 31, 2008. Interest is payable in arrears on the 15th day of each month and on demand. There was $86,000 outstanding under the demand line of credit as of August 31, 2008 and an additional $600,000 was committed from the demand line of credit to cover a letter of credit.</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connection with the purchase of its new corporate headquarters, the Company entered into a term loan with a principal amount of $1,275,000 that matures on May 1, 2011, bears interest at a fixed rate of 8.01% and is payable in 59 monthly payments equal to approximately $10,776 (inclusive of principal and interest). All of the remaining unpaid principal and accrued interest is due and payable on the maturity date. The term loan is secured by a first lien on the Company’s Circle Pines facility pursuant to a Mortgage dated as of May 3, 2006 between Northern Technologies Holding Company LLC and National City Bank and is guaranteed by the Company. Future minimum payments on the term loan are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Fiscal 2009</w:t>
            </w:r>
          </w:p>
        </w:tc>
        <w:tc>
          <w:tcPr>
            <w:tcW w:w="2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Fiscal 2010</w:t>
            </w: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34,897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2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1,145,075</w:t>
            </w:r>
          </w:p>
        </w:tc>
      </w:tr>
    </w:tbl>
    <w:p>
      <w:pPr>
        <w:spacing w:after="0" w:line="198" w:lineRule="exact"/>
        <w:rPr>
          <w:sz w:val="20"/>
          <w:szCs w:val="20"/>
          <w:color w:val="auto"/>
        </w:rPr>
      </w:pPr>
    </w:p>
    <w:p>
      <w:pPr>
        <w:ind w:left="880" w:hanging="872"/>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During fiscal </w:t>
      </w:r>
      <w:r>
        <w:rPr>
          <w:rFonts w:ascii="Arial" w:cs="Arial" w:eastAsia="Arial" w:hAnsi="Arial"/>
          <w:sz w:val="17"/>
          <w:szCs w:val="17"/>
          <w:color w:val="auto"/>
        </w:rPr>
        <w:t>2008, the Company did not purchase or retire any shares of its common stock. The following stock options to purchase shares of common stock</w:t>
      </w:r>
      <w:r>
        <w:rPr>
          <w:rFonts w:ascii="Arial" w:cs="Arial" w:eastAsia="Arial" w:hAnsi="Arial"/>
          <w:sz w:val="18"/>
          <w:szCs w:val="18"/>
          <w:color w:val="auto"/>
        </w:rPr>
        <w:t xml:space="preserve"> </w:t>
      </w:r>
      <w:r>
        <w:rPr>
          <w:rFonts w:ascii="Arial" w:cs="Arial" w:eastAsia="Arial" w:hAnsi="Arial"/>
          <w:sz w:val="17"/>
          <w:szCs w:val="17"/>
          <w:color w:val="auto"/>
        </w:rPr>
        <w:t>were exercised during fiscal 2008:</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Exercised</w:t>
            </w:r>
          </w:p>
        </w:tc>
        <w:tc>
          <w:tcPr>
            <w:tcW w:w="2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2007, the Company did not purchase or retire any shares of its common stock. The following stock options to purchase shares of common stock were exercised during fiscal 2007:</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Exercise</w:t>
            </w:r>
          </w:p>
        </w:tc>
      </w:tr>
      <w:tr>
        <w:trPr>
          <w:trHeight w:val="171"/>
        </w:trPr>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Exercised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Price</w:t>
            </w:r>
          </w:p>
        </w:tc>
      </w:tr>
      <w:tr>
        <w:trPr>
          <w:trHeight w:val="210"/>
        </w:trPr>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r>
      <w:tr>
        <w:trPr>
          <w:trHeight w:val="216"/>
        </w:trPr>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w:t>
            </w:r>
          </w:p>
        </w:tc>
      </w:tr>
      <w:tr>
        <w:trPr>
          <w:trHeight w:val="216"/>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r>
      <w:tr>
        <w:trPr>
          <w:trHeight w:val="216"/>
        </w:trPr>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fiscal 2008, the Company granted stock bonuses under the Northern Technologies International Corporation 2007 Stock Incentive Plan for an aggregate of 33,595 shares of its common stock to various employees. The fair value of the shares of the Company’s common stock as of the date of grant of the stock bonuses was $334,270, based on the closing sale price of a share of the Company’s common stock on the date of grant.</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fiscal 2007, the Company granted stock bonuses under the Northern Technologies International Corporation 2000 Stock Incentive Plan for an aggregate of 37,245 shares of its common stock to various employees. The fair value of the shares of the Company’s common stock as of the date of grant of the stock bonuses was $298,330, based on the closing sale price of a share of the Company’s common stock on the date of grant.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86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ind w:right="280"/>
              <w:spacing w:after="0" w:line="119" w:lineRule="exact"/>
              <w:rPr>
                <w:sz w:val="20"/>
                <w:szCs w:val="20"/>
                <w:color w:val="auto"/>
              </w:rPr>
            </w:pPr>
            <w:r>
              <w:rPr>
                <w:rFonts w:ascii="Arial" w:cs="Arial" w:eastAsia="Arial" w:hAnsi="Arial"/>
                <w:sz w:val="13"/>
                <w:szCs w:val="13"/>
                <w:b w:val="1"/>
                <w:bCs w:val="1"/>
                <w:color w:val="auto"/>
              </w:rPr>
              <w:t>August 31,</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right"/>
              <w:ind w:right="278"/>
              <w:spacing w:after="0" w:line="119" w:lineRule="exact"/>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0"/>
                <w:szCs w:val="10"/>
                <w:color w:val="auto"/>
              </w:rPr>
            </w:pPr>
          </w:p>
        </w:tc>
      </w:tr>
      <w:tr>
        <w:trPr>
          <w:trHeight w:val="171"/>
        </w:trPr>
        <w:tc>
          <w:tcPr>
            <w:tcW w:w="86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r>
      <w:tr>
        <w:trPr>
          <w:trHeight w:val="21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w:t>
            </w:r>
          </w:p>
        </w:tc>
        <w:tc>
          <w:tcPr>
            <w:tcW w:w="7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2,553,956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3,223,408</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677,907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709,109</w:t>
            </w:r>
          </w:p>
        </w:tc>
      </w:tr>
      <w:tr>
        <w:trPr>
          <w:trHeight w:val="210"/>
        </w:trPr>
        <w:tc>
          <w:tcPr>
            <w:tcW w:w="7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3,231,863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3,932,517</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341" w:right="239" w:bottom="0" w:gutter="0" w:footer="0" w:header="0"/>
        </w:sectPr>
      </w:pPr>
    </w:p>
    <w:bookmarkStart w:id="34" w:name="page35"/>
    <w:bookmarkEnd w:id="34"/>
    <w:p>
      <w:pPr>
        <w:spacing w:after="0" w:line="62"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August 31, 2008 and August 31, 2007, as all stock option exercise prices were less than the average market price of a share of common stock.</w:t>
      </w:r>
    </w:p>
    <w:p>
      <w:pPr>
        <w:spacing w:after="0" w:line="166"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(the “2007 Plan”) and the Northern Technologies International Corporation Employee Stock Purchase Plan (the “ESPP”). The Compensation Committee of the Board of Directors administers both of the plans.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2007 Plan replaced the Northern Technologies International Corporation 2000 Stock Incentive Plan, which was terminated with respect to future grants, but will continue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date of the grant. Options are granted at per share exercise prices equal to the market value of the Company’s common stock on the date of grant. To date, only stock options and stock bonuses have been granted under the 2007 Plan.</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 (#)</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Intrinsic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2006</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4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(26,778)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Options terminated</w:t>
            </w:r>
          </w:p>
        </w:tc>
        <w:tc>
          <w:tcPr>
            <w:tcW w:w="4100" w:type="dxa"/>
            <w:vAlign w:val="bottom"/>
            <w:gridSpan w:val="3"/>
          </w:tcPr>
          <w:p>
            <w:pPr>
              <w:jc w:val="right"/>
              <w:ind w:right="240"/>
              <w:spacing w:after="0"/>
              <w:rPr>
                <w:sz w:val="20"/>
                <w:szCs w:val="20"/>
                <w:color w:val="auto"/>
              </w:rPr>
            </w:pPr>
            <w:r>
              <w:rPr>
                <w:rFonts w:ascii="Arial" w:cs="Arial" w:eastAsia="Arial" w:hAnsi="Arial"/>
                <w:sz w:val="18"/>
                <w:szCs w:val="18"/>
                <w:color w:val="auto"/>
              </w:rPr>
              <w:t>(7,556)</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Outstanding at August 31, 2007</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86,167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38,472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4100" w:type="dxa"/>
            <w:vAlign w:val="bottom"/>
            <w:gridSpan w:val="3"/>
          </w:tcPr>
          <w:p>
            <w:pPr>
              <w:jc w:val="right"/>
              <w:ind w:right="24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terminated</w:t>
            </w:r>
          </w:p>
        </w:tc>
        <w:tc>
          <w:tcPr>
            <w:tcW w:w="4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(3,167)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2008</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119,472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2007</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2008</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54,343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future grant at August 31, 2008</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329,933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60" w:type="dxa"/>
            <w:vAlign w:val="bottom"/>
          </w:tcPr>
          <w:p>
            <w:pPr>
              <w:jc w:val="right"/>
              <w:ind w:right="1110"/>
              <w:spacing w:after="0"/>
              <w:rPr>
                <w:sz w:val="20"/>
                <w:szCs w:val="20"/>
                <w:color w:val="auto"/>
              </w:rPr>
            </w:pPr>
            <w:r>
              <w:rPr>
                <w:rFonts w:ascii="Arial" w:cs="Arial" w:eastAsia="Arial" w:hAnsi="Arial"/>
                <w:sz w:val="18"/>
                <w:szCs w:val="18"/>
                <w:color w:val="auto"/>
              </w:rPr>
              <w:t>55</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Grant</w:t>
            </w:r>
          </w:p>
        </w:tc>
        <w:tc>
          <w:tcPr>
            <w:tcW w:w="1460" w:type="dxa"/>
            <w:vAlign w:val="bottom"/>
          </w:tcPr>
          <w:p>
            <w:pPr>
              <w:jc w:val="center"/>
              <w:ind w:left="416"/>
              <w:spacing w:after="0"/>
              <w:rPr>
                <w:sz w:val="20"/>
                <w:szCs w:val="20"/>
                <w:color w:val="auto"/>
              </w:rPr>
            </w:pPr>
            <w:r>
              <w:rPr>
                <w:rFonts w:ascii="Arial" w:cs="Arial" w:eastAsia="Arial" w:hAnsi="Arial"/>
                <w:sz w:val="14"/>
                <w:szCs w:val="14"/>
                <w:b w:val="1"/>
                <w:bCs w:val="1"/>
                <w:color w:val="auto"/>
                <w:w w:val="91"/>
              </w:rPr>
              <w:t>Per Share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center"/>
              <w:ind w:left="528"/>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460" w:type="dxa"/>
            <w:vAlign w:val="bottom"/>
          </w:tcPr>
          <w:p>
            <w:pPr>
              <w:jc w:val="center"/>
              <w:ind w:left="416"/>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0"/>
              </w:rPr>
              <w:t>Options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71"/>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center"/>
              <w:ind w:left="396"/>
              <w:spacing w:after="0"/>
              <w:rPr>
                <w:sz w:val="20"/>
                <w:szCs w:val="20"/>
                <w:color w:val="auto"/>
              </w:rPr>
            </w:pPr>
            <w:r>
              <w:rPr>
                <w:rFonts w:ascii="Arial" w:cs="Arial" w:eastAsia="Arial" w:hAnsi="Arial"/>
                <w:sz w:val="14"/>
                <w:szCs w:val="14"/>
                <w:b w:val="1"/>
                <w:bCs w:val="1"/>
                <w:color w:val="auto"/>
                <w:w w:val="90"/>
              </w:rPr>
              <w:t>Prices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(years)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center"/>
              <w:ind w:left="528"/>
              <w:spacing w:after="0"/>
              <w:rPr>
                <w:sz w:val="20"/>
                <w:szCs w:val="20"/>
                <w:color w:val="auto"/>
              </w:rPr>
            </w:pPr>
            <w:r>
              <w:rPr>
                <w:rFonts w:ascii="Arial" w:cs="Arial" w:eastAsia="Arial" w:hAnsi="Arial"/>
                <w:sz w:val="14"/>
                <w:szCs w:val="14"/>
                <w:b w:val="1"/>
                <w:bCs w:val="1"/>
                <w:color w:val="auto"/>
                <w:w w:val="94"/>
              </w:rPr>
              <w:t>Outstanding (#)</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Exercisable (#)</w:t>
            </w: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9/1/2004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90"/>
              </w:rPr>
              <w:t>11/12/2004</w:t>
            </w:r>
          </w:p>
        </w:tc>
        <w:tc>
          <w:tcPr>
            <w:tcW w:w="240" w:type="dxa"/>
            <w:vAlign w:val="bottom"/>
          </w:tcPr>
          <w:p>
            <w:pPr>
              <w:spacing w:after="0"/>
              <w:rPr>
                <w:sz w:val="18"/>
                <w:szCs w:val="18"/>
                <w:color w:val="auto"/>
              </w:rPr>
            </w:pP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9/1/2005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89"/>
              </w:rPr>
              <w:t>11/4/2005</w:t>
            </w:r>
          </w:p>
        </w:tc>
        <w:tc>
          <w:tcPr>
            <w:tcW w:w="240" w:type="dxa"/>
            <w:vAlign w:val="bottom"/>
          </w:tcPr>
          <w:p>
            <w:pPr>
              <w:spacing w:after="0"/>
              <w:rPr>
                <w:sz w:val="18"/>
                <w:szCs w:val="18"/>
                <w:color w:val="auto"/>
              </w:rPr>
            </w:pP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56,000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9/1/2006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spacing w:after="0"/>
              <w:rPr>
                <w:sz w:val="20"/>
                <w:szCs w:val="20"/>
                <w:color w:val="auto"/>
              </w:rPr>
            </w:pPr>
            <w:r>
              <w:rPr>
                <w:rFonts w:ascii="Arial" w:cs="Arial" w:eastAsia="Arial" w:hAnsi="Arial"/>
                <w:sz w:val="18"/>
                <w:szCs w:val="18"/>
                <w:color w:val="auto"/>
                <w:w w:val="91"/>
              </w:rPr>
              <w:t>9/1/2007</w:t>
            </w:r>
          </w:p>
        </w:tc>
        <w:tc>
          <w:tcPr>
            <w:tcW w:w="240" w:type="dxa"/>
            <w:vAlign w:val="bottom"/>
          </w:tcPr>
          <w:p>
            <w:pPr>
              <w:spacing w:after="0"/>
              <w:rPr>
                <w:sz w:val="18"/>
                <w:szCs w:val="18"/>
                <w:color w:val="auto"/>
              </w:rPr>
            </w:pP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1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11/16/2007</w:t>
            </w:r>
          </w:p>
        </w:tc>
        <w:tc>
          <w:tcPr>
            <w:tcW w:w="11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9.95</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r>
      <w:tr>
        <w:trPr>
          <w:trHeight w:val="256"/>
        </w:trPr>
        <w:tc>
          <w:tcPr>
            <w:tcW w:w="146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color w:val="auto"/>
              </w:rPr>
              <w:t>5/2/2008</w:t>
            </w:r>
          </w:p>
        </w:tc>
        <w:tc>
          <w:tcPr>
            <w:tcW w:w="1160" w:type="dxa"/>
            <w:vAlign w:val="bottom"/>
            <w:tcBorders>
              <w:bottom w:val="single" w:sz="8" w:color="CCEEFF"/>
            </w:tcBorders>
          </w:tcPr>
          <w:p>
            <w:pPr>
              <w:jc w:val="right"/>
              <w:ind w:right="67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tcPr>
          <w:p>
            <w:pPr>
              <w:jc w:val="right"/>
              <w:ind w:right="1090"/>
              <w:spacing w:after="0"/>
              <w:rPr>
                <w:sz w:val="20"/>
                <w:szCs w:val="20"/>
                <w:color w:val="auto"/>
              </w:rPr>
            </w:pPr>
            <w:r>
              <w:rPr>
                <w:rFonts w:ascii="Arial" w:cs="Arial" w:eastAsia="Arial" w:hAnsi="Arial"/>
                <w:sz w:val="18"/>
                <w:szCs w:val="18"/>
                <w:color w:val="auto"/>
              </w:rPr>
              <w:t>7.75</w:t>
            </w:r>
          </w:p>
        </w:tc>
        <w:tc>
          <w:tcPr>
            <w:tcW w:w="164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4.7</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332</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tcPr>
          <w:p>
            <w:pPr>
              <w:spacing w:after="0"/>
              <w:rPr>
                <w:sz w:val="22"/>
                <w:szCs w:val="22"/>
                <w:color w:val="auto"/>
              </w:rPr>
            </w:pPr>
          </w:p>
        </w:tc>
      </w:tr>
      <w:tr>
        <w:trPr>
          <w:trHeight w:val="197"/>
        </w:trPr>
        <w:tc>
          <w:tcPr>
            <w:tcW w:w="1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119,472</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54,343</w:t>
            </w:r>
          </w:p>
        </w:tc>
        <w:tc>
          <w:tcPr>
            <w:tcW w:w="14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options granted during fiscal 2008 and 2007 was $3.50 and $2.95,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GEOGRAPHIC AND SEGMENT INFORMATION</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w w:val="95"/>
              </w:rPr>
              <w:t>Net sales by geographic location as a percentage of total consolidated net sales were as follows: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67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August 31, 2008</w:t>
            </w:r>
          </w:p>
        </w:tc>
        <w:tc>
          <w:tcPr>
            <w:tcW w:w="2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August 31, 2007</w:t>
            </w:r>
          </w:p>
        </w:tc>
        <w:tc>
          <w:tcPr>
            <w:tcW w:w="160" w:type="dxa"/>
            <w:vAlign w:val="bottom"/>
            <w:tcBorders>
              <w:bottom w:val="single" w:sz="8" w:color="CCEEFF"/>
            </w:tcBorders>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6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Outside the U.S.A. to:</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6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Corporate Joint Ventures in which the Company is a shareholder directly and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indirectly</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r>
      <w:tr>
        <w:trPr>
          <w:trHeight w:val="216"/>
        </w:trPr>
        <w:tc>
          <w:tcPr>
            <w:tcW w:w="66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8.0</w:t>
            </w:r>
          </w:p>
        </w:tc>
      </w:tr>
      <w:tr>
        <w:trPr>
          <w:trHeight w:val="223"/>
        </w:trPr>
        <w:tc>
          <w:tcPr>
            <w:tcW w:w="660" w:type="dxa"/>
            <w:vAlign w:val="bottom"/>
          </w:tcPr>
          <w:p>
            <w:pPr>
              <w:spacing w:after="0"/>
              <w:rPr>
                <w:sz w:val="19"/>
                <w:szCs w:val="19"/>
                <w:color w:val="auto"/>
              </w:rPr>
            </w:pPr>
          </w:p>
        </w:tc>
        <w:tc>
          <w:tcPr>
            <w:tcW w:w="67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customer of NTIC’s React-NTI, LLC joint venture accounted for, in the aggregate, approximately 1.9% and 28.0% of NTIC’s consolidated net sales for the fiscal years ended August 31, 2008 and 2007 respectively, and $16,879 and $144,999 of NTIC’s receivables at August 31, 2008 and 2007,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fiscal 2008 and fiscal 2007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Fiscal 2008</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Fiscal 2007</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383,904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383,904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React Inc. sales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248,160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4,716,620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(4,468,460)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12,690,752</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16,829,030</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(4,138,278)</w:t>
            </w:r>
          </w:p>
        </w:tc>
        <w:tc>
          <w:tcPr>
            <w:tcW w:w="2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contributes the lesser of 50%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participant’s contributions or 3.5% of the employee’s salary. The Company recognized expense for the savings plan of $142,073 and $100,124, for the fiscal years ended August 31, 2008 and 2007, respectively.</w:t>
      </w:r>
    </w:p>
    <w:p>
      <w:pPr>
        <w:spacing w:after="0" w:line="166"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was a party to a consulting agreement with Emeritushnic Facilities Company, Inc. (referred to as “EFC”), an entity owned by the Company’s former Chairman of the Board and Chief Executive Officer, Philip M. Lynch, and certain of his family members, excluding G. Patrick Lynch, the Company’s current President and Chief Executive Officer, pursuant to which EFC performed certain consulting services for the Company, including maintaining communications and relations between the Company and its joint venture partners. This agreement terminated by its terms within 90 days of Mr. Philip M. Lynch’s death on September 29, 2008. In consideration for such services, the Company paid EFC a monthly fee of $25,000 and reimbursed EFC up to a maximum of $180,000 per year for documented, out-of-pocket expenses reasonably incurred by EFC in the course of conducting business on our behalf. The Company paid EFC consulting fees totaling $300,000 in each of fiscal 2008 and fiscal 2007, and reimbursed EFC for out-of-pocket expenses reasonably incurred in the course of providing such services in an aggregate amount of $180,000 during fiscal 2008 and fiscal 2007. The consulting agreement also contained other standard terms, including provisions regarding confidentiality, non-competition and non-solicitation.</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made consulting payments to Bioplastic Polymers LLC which is owned by Dr. Ramani Narayan, a director of the Company, of $25,000 on each of November 2, 2006, February 1, 2007, May 1, 2007 and August 1, 2007. The consulting services rendered by Bioplastic Polymers LLC are related to research and developments associated with various new technologies and are contracted on an annual basis paid monthly and cancellable by the Company at any time. During fiscal 2008, the Company made consulting payments totaling $100,000 to Bioplastic Polymers LLC and paid royalties of $1,323 based on net sales of the Company’s bioplastics products. The royalty fees were paid pursuant to an oral agreement under which the Company has agreed to pay Bioplastic Polymers LLC and Dr. Narayan in consideration of the transfer and assignment by Biopolymer Plastics LLC and Dr. Narayan of certain biodegradable polymer technology to the Company, an aggregate of three percent of the gross margin on any net sales of products incorporating the biodegradable polymer technology transferred to the Company by Bioplastic Polymers LLC and Dr. Narayan for a period of 10 years, provided that if a patent for or with respect to biodegradable polymer technology is issued before the expiration of such 10 year period, then the Company will until the expiration of such patent pay to Bioplastic Polymers LLC and Dr. Narayan an aggregate three percent of the biodegradable polymer technology gross margin attributable to such patent.</w:t>
      </w:r>
    </w:p>
    <w:p>
      <w:pPr>
        <w:spacing w:after="0" w:line="18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made consulting payments to Dr. Sunggyu Lee, a director of the Company, of $25,000 on November 28, 2006 and February 1, 2007. The consulting services rendered by Dr. Lee related to research and development associated with various new technologies. In May 2007, the consulting arrangement between the Company and Dr. Lee was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Item 2. Properties.</w:t>
      </w:r>
    </w:p>
    <w:p>
      <w:pPr>
        <w:spacing w:after="0" w:line="221"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ectPr>
          <w:pgSz w:w="11900" w:h="16838" w:orient="portrait"/>
          <w:cols w:equalWidth="0" w:num="1">
            <w:col w:w="11420"/>
          </w:cols>
          <w:pgMar w:left="240" w:top="140" w:right="23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provision for income taxes for the fiscal years ended August 31 consists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158,000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622,800</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39,200</w:t>
            </w:r>
          </w:p>
        </w:tc>
      </w:tr>
      <w:tr>
        <w:trPr>
          <w:trHeight w:val="224"/>
        </w:trPr>
        <w:tc>
          <w:tcPr>
            <w:tcW w:w="5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149,000</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662,000</w:t>
            </w:r>
          </w:p>
        </w:tc>
        <w:tc>
          <w:tcPr>
            <w:tcW w:w="120" w:type="dxa"/>
            <w:vAlign w:val="bottom"/>
          </w:tcPr>
          <w:p>
            <w:pPr>
              <w:spacing w:after="0"/>
              <w:rPr>
                <w:sz w:val="19"/>
                <w:szCs w:val="19"/>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r>
      <w:tr>
        <w:trPr>
          <w:trHeight w:val="523"/>
        </w:trPr>
        <w:tc>
          <w:tcPr>
            <w:tcW w:w="2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24"/>
                <w:szCs w:val="24"/>
                <w:color w:val="auto"/>
              </w:rPr>
            </w:pPr>
          </w:p>
        </w:tc>
        <w:tc>
          <w:tcPr>
            <w:tcW w:w="39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2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18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(465,600)</w:t>
            </w:r>
          </w:p>
        </w:tc>
        <w:tc>
          <w:tcPr>
            <w:tcW w:w="3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w:t>
            </w:r>
          </w:p>
        </w:tc>
        <w:tc>
          <w:tcPr>
            <w:tcW w:w="39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(476,000)</w:t>
            </w:r>
          </w:p>
        </w:tc>
        <w:tc>
          <w:tcPr>
            <w:tcW w:w="100" w:type="dxa"/>
            <w:vAlign w:val="bottom"/>
            <w:tcBorders>
              <w:bottom w:val="single" w:sz="8" w:color="CCEEFF"/>
            </w:tcBorders>
          </w:tcPr>
          <w:p>
            <w:pPr>
              <w:spacing w:after="0"/>
              <w:rPr>
                <w:sz w:val="18"/>
                <w:szCs w:val="18"/>
                <w:color w:val="auto"/>
              </w:rPr>
            </w:pPr>
          </w:p>
        </w:tc>
        <w:tc>
          <w:tcPr>
            <w:tcW w:w="39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Borders>
              <w:bottom w:val="single" w:sz="8" w:color="CCEEFF"/>
            </w:tcBorders>
            <w:shd w:val="clear" w:color="auto" w:fill="CCEEFF"/>
          </w:tcPr>
          <w:p>
            <w:pPr>
              <w:spacing w:after="0"/>
              <w:rPr>
                <w:sz w:val="18"/>
                <w:szCs w:val="18"/>
                <w:color w:val="auto"/>
              </w:rPr>
            </w:pPr>
          </w:p>
        </w:tc>
        <w:tc>
          <w:tcPr>
            <w:tcW w:w="39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1,184,000</w:t>
            </w:r>
          </w:p>
        </w:tc>
        <w:tc>
          <w:tcPr>
            <w:tcW w:w="1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31,000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(850,000)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590,000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409,000</w:t>
            </w:r>
          </w:p>
        </w:tc>
        <w:tc>
          <w:tcPr>
            <w:tcW w:w="14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(776,000)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(90,000)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475,000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177,000</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r>
      <w:tr>
        <w:trPr>
          <w:trHeight w:val="210"/>
        </w:trPr>
        <w:tc>
          <w:tcPr>
            <w:tcW w:w="75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not recognized a deferred tax liability relating to cumulative undistributed earnings of Corporate Joint Ventures and holding companies that are essentially permanent in duration of $5,177,000 and $4,254,000 at August 31, 2008 and 2007, respectively. If some or all of the undistributed earnings of the Corporate Joint Ventures and holding companies are remitted to the Company in the future, income taxes, if any, after the application of foreign tax credits will be provided at that time.</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At August 31, 2008 the Company had foreign tax credit carryforwards of approximately $3,102,000 which begin to expire in 2010. The Company established a valuation allowance of $3,102,000 with respect to the foreign tax credit carryforwards.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tax effect of the temporary differences and tax carry forwards comprising the net deferred taxes shown on the balance sheets at August 31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3,600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275,700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Deferred joint venture royalties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104,100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bonus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292,600</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183,300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562,000</w:t>
            </w:r>
          </w:p>
        </w:tc>
        <w:tc>
          <w:tcPr>
            <w:tcW w:w="140" w:type="dxa"/>
            <w:vAlign w:val="bottom"/>
            <w:tcBorders>
              <w:bottom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Noncurrent: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of book over tax depreciation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(178,500)</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Asset valuation reserves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408,300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491,800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 net of a valuation allowance at August 31, 2008 and 2007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Federal Net Operating Loss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138,100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noncurrent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5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net operating loss carryforwards for Federal tax purposes of approximately $382,000 that begin to expire in 2025.</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Effective September 1, 2007, the Company adopted the provisions of the FASB Interpretation 48, “Accounting for Uncertainty in Income Taxes – an interpretation of FASB Statement 109” (“FIN 48”). FIN 48 clarifies the accounting for uncertainty in income taxes recognized in an entity’s financial statements in accordance with SFAS No. 109 and prescribes a recognition threshold and measurement attribute for financial statement disclosure of tax positions taken or expected to be taken in a tax return. Under FIN 48, the impact of an uncertain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subsequent derecognition of tax positions,</w:t>
      </w:r>
    </w:p>
    <w:p>
      <w:pPr>
        <w:sectPr>
          <w:pgSz w:w="11900" w:h="16838" w:orient="portrait"/>
          <w:cols w:equalWidth="0" w:num="1">
            <w:col w:w="11460"/>
          </w:cols>
          <w:pgMar w:left="240" w:top="125" w:right="199" w:bottom="0" w:gutter="0" w:footer="0" w:header="0"/>
        </w:sectPr>
      </w:pPr>
    </w:p>
    <w:bookmarkStart w:id="37" w:name="page38"/>
    <w:bookmarkEnd w:id="37"/>
    <w:p>
      <w:pPr>
        <w:ind w:right="40"/>
        <w:spacing w:after="0" w:line="277" w:lineRule="auto"/>
        <w:rPr>
          <w:sz w:val="20"/>
          <w:szCs w:val="20"/>
          <w:color w:val="auto"/>
        </w:rPr>
      </w:pPr>
      <w:r>
        <w:rPr>
          <w:rFonts w:ascii="Arial" w:cs="Arial" w:eastAsia="Arial" w:hAnsi="Arial"/>
          <w:sz w:val="18"/>
          <w:szCs w:val="18"/>
          <w:color w:val="auto"/>
        </w:rPr>
        <w:t>financial statement classification, recognition of interest and penalties, accounting in interim periods and disclosure and transition rules. The adoption of FIN 48 did not have a material impact on the Company’s financial condition, results of operations or cash flows.</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 of August 31, 2008 and September 1, 2007, the Company had $88,000 and $75,000 of unrecognized tax benefits, respectively. The entire amount of unrecognized tax benefits would affect the effective tax rate. It is expected that the amount of unrecognized tax benefits will not change in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 in fiscal 2008: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 2007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Gross Increases Related to Current Period Tax Positions</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12,800</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 31, 2008</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This policy will not change as a result of the adoption of FIN 48. As of September 1, 2007, the Company recorded a liability of $11,300 for interest and penalties. The liability for the payment of interest and penalties is $11,500 at August 31, 2008.</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operates in multiple tax jurisdictions, both within the United States and outside the United States. With certain exceptions, the Company is no longer subject to examination for tax years prior to 2004. The Company’s tax filings for the years August 31, 2004 and August 31, 2005 were examined by the Internal Revenue Service. The examination has been concluded with the exception of the payroll tax issue discussed within note 18 entitled “Commitments and Contingencies.”</w:t>
      </w:r>
    </w:p>
    <w:p>
      <w:pPr>
        <w:spacing w:after="0" w:line="183" w:lineRule="exact"/>
        <w:rPr>
          <w:sz w:val="20"/>
          <w:szCs w:val="20"/>
          <w:color w:val="auto"/>
        </w:rPr>
      </w:pPr>
    </w:p>
    <w:p>
      <w:pPr>
        <w:ind w:left="900" w:hanging="892"/>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July 25, 2008, the Company’s Board of Directors, upon recommendation of the Compensation Committee, approved the material terms of an annual bonus plan for the Company’s executive officers and certain employees for the fiscal year ending August 31, 2009,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jc w:val="center"/>
        <w:ind w:left="5620" w:right="920" w:hanging="5288"/>
        <w:spacing w:after="0" w:line="528" w:lineRule="auto"/>
        <w:tabs>
          <w:tab w:leader="none" w:pos="6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NTIC’s earnings before interest, taxes and other income (EBITOI);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77"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660" w:hanging="328"/>
        <w:spacing w:after="0" w:line="342" w:lineRule="auto"/>
        <w:tabs>
          <w:tab w:leader="none" w:pos="6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Negotiations following the mediation have also been unproductive, and it appears that the stay will be lifted. Accordingly, React LLC will both defend against Shamrock’s allegations and pursue counterclaims against Shamrock for breach of the license agreement and for tortious interference. The parties are presently proceeding with discovery. Because this matter is in the early stage, the Company cannot estimate the possible loss or range of loss, if any, associated with its resolution. However, th</w:t>
      </w:r>
      <w:r>
        <w:rPr>
          <w:rFonts w:ascii="Arial" w:cs="Arial" w:eastAsia="Arial" w:hAnsi="Arial"/>
          <w:sz w:val="15"/>
          <w:szCs w:val="15"/>
          <w:color w:val="auto"/>
        </w:rPr>
        <w:t>ere can be no assurance that the ultimate resolution of the matter</w:t>
      </w:r>
      <w:r>
        <w:rPr>
          <w:rFonts w:ascii="Arial" w:cs="Arial" w:eastAsia="Arial" w:hAnsi="Arial"/>
          <w:sz w:val="16"/>
          <w:szCs w:val="16"/>
          <w:color w:val="auto"/>
        </w:rPr>
        <w:t xml:space="preserve"> </w:t>
      </w:r>
      <w:r>
        <w:rPr>
          <w:rFonts w:ascii="Arial" w:cs="Arial" w:eastAsia="Arial" w:hAnsi="Arial"/>
          <w:sz w:val="15"/>
          <w:szCs w:val="15"/>
          <w:color w:val="auto"/>
        </w:rPr>
        <w:t>will not result in a material adverse effect on the Company’s business, financial condition or results of operations.</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was involved in a legal action in Finland whereby the Company sued a Finnish company for trademark infringement. Upon initiation of legal action, the courts seized the inventory of the Finnish company as contraband. The Company won the initial case, but subsequently lost on appeal. On November 19, 2008, the Company entered into an agreement to settle the lawsuit. Under the terms of the settlement agreement, the Company agreed to seek an amendment to its trademark YELLOW and to pay the defendant a one-time payment of 320,000 Euro. The defendant agreed, among other things, not to challenge the amendment or the validity of the Company’s trademark and not to infringe upon the trademark, once amended. Each party released each other of all claims in connection with the matter. As a result of the settlement, the Company recorded a $400,000 litigation settlement accrual in its consolidated financial statements for the fiscal year ended August 31, 2008.</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June 11, 2008, the Company entered into an agreement to settle a lawsuit brought by Evelyna Cantwell and Jack Cantwell, individually, and also doing business as the principals of Byrd-Walsh International, LLC, against the Company and its former Chairman of the Board and Chief Executive Officer, Philip M. Lynch. The lawsuit sought unspecified injunctive relief as well as compensatory and punitive damages in an unspecified amount which, based on the allegations of the complaint, may have been claimed by plaintiffs to be in an amount in excess of $45 million. Under the terms of the settlement agreement, the plaintiffs agreed to dismiss their claims with prejudice and to release the Company and Mr. Philip M. Lynch from any and all claims, in exchange for a cash payment from the Company of $41,340. This payment was made during the year ended August 31, 2008.</w:t>
      </w:r>
    </w:p>
    <w:p>
      <w:pPr>
        <w:sectPr>
          <w:pgSz w:w="11900" w:h="16838"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25" w:right="259" w:bottom="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business, financial condition or results of operations.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In June 2007, the U.S. Internal Revenue Service concluded its audit of the Company’s U.S. federal income tax returns for fiscal 2004 and 2005. As a result of such audit, the Company paid the IRS approximately $25,000 in additional payroll taxes. The Company also agreed in principle with the IRS to adjustments that will result in the additional payment of approximately $60,000 in income tax and interest. As a result of the audit, the IRS has also taken the position that the Company failed to withhold </w:t>
      </w:r>
      <w:r>
        <w:rPr>
          <w:rFonts w:ascii="Arial" w:cs="Arial" w:eastAsia="Arial" w:hAnsi="Arial"/>
          <w:sz w:val="16"/>
          <w:szCs w:val="16"/>
          <w:color w:val="auto"/>
        </w:rPr>
        <w:t>and has assessed against the Company</w:t>
      </w:r>
      <w:r>
        <w:rPr>
          <w:rFonts w:ascii="Arial" w:cs="Arial" w:eastAsia="Arial" w:hAnsi="Arial"/>
          <w:sz w:val="17"/>
          <w:szCs w:val="17"/>
          <w:color w:val="auto"/>
        </w:rPr>
        <w:t xml:space="preserve"> approximately $505,000 of payroll taxes and individual income taxes on travel and other expense reimbursements made to Philip M. Lynch, the Company’s former Chairman of the Board and Chief Executive Officer, and commissions payments made to Inter Alia Holding Co. under that certain former Manufacturer’s Representative Agreement dated as of October 1, 1976 and as subsequently amended thereafter between the Company and Inter Alia, which agreement has since been terminated. Inter Alia beneficially owns approximately 24.3% of the Company’s outstanding common stock. G. Patrick Lynch, the Company’s current President and Chief Executive Officer, and three other members of the Lynch family, are shareholders of Inter Alia. G. Patrick Lynch is also the son of the late Philip M. Lynch. The Company disagrees with the IRS’ position on withholding and is in the process of appealing the matter. Because the Company believes that it has valid legal grounds for appeal, it has determined that a loss is not probable at this time as defined by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However, there can be no assurance that the ultimate resolution of the matter will not result in a material adverse effect on the Company’s business, financial condition or results of operations.</w:t>
      </w:r>
    </w:p>
    <w:p>
      <w:pPr>
        <w:spacing w:after="0" w:line="184" w:lineRule="exact"/>
        <w:rPr>
          <w:sz w:val="20"/>
          <w:szCs w:val="20"/>
          <w:color w:val="auto"/>
        </w:rPr>
      </w:pPr>
    </w:p>
    <w:p>
      <w:pPr>
        <w:ind w:left="900" w:hanging="892"/>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2008 and 2007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received during the year for income taxes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471,000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119,229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Cash paid during the year for interest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89"/>
              </w:rPr>
              <w:t>123,874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164,372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8"/>
              </w:rPr>
              <w:t>Common stock issued in lieu of accrued payroll (33,595 and 37,245 shares, respectively)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334,270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298,330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9"/>
          </w:tcPr>
          <w:p>
            <w:pPr>
              <w:spacing w:after="0" w:line="201" w:lineRule="exact"/>
              <w:rPr>
                <w:sz w:val="20"/>
                <w:szCs w:val="20"/>
                <w:color w:val="auto"/>
              </w:rPr>
            </w:pPr>
            <w:r>
              <w:rPr>
                <w:rFonts w:ascii="Arial" w:cs="Arial" w:eastAsia="Arial" w:hAnsi="Arial"/>
                <w:sz w:val="18"/>
                <w:szCs w:val="18"/>
                <w:color w:val="auto"/>
                <w:w w:val="96"/>
              </w:rPr>
              <w:t>Increase in the Company’s investment in Corporate Joint Ventures and accumulated other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comprehensive income due to changes in exchange rates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89"/>
              </w:rPr>
              <w:t>677,907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709,109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QUARTERLY INFORMATION (UNAUDITED)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9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February 29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August 31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Fiscal year 2008:</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90"/>
              </w:rPr>
              <w:t>Net sales</w:t>
            </w: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3,485,585</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2,762,856</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3,269,721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3,172,590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391,894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152,902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w:t>
            </w:r>
            <w:r>
              <w:rPr>
                <w:rFonts w:ascii="Arial" w:cs="Arial" w:eastAsia="Arial" w:hAnsi="Arial"/>
                <w:sz w:val="17"/>
                <w:szCs w:val="17"/>
                <w:color w:val="auto"/>
                <w:w w:val="94"/>
              </w:rPr>
              <w:t>209,866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297,400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736,196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848,690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936,148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202,922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(245,000)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658,196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659,690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788,148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447,922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Net income per share: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gridSpan w:val="3"/>
          </w:tcPr>
          <w:p>
            <w:pPr>
              <w:jc w:val="right"/>
              <w:ind w:right="79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February 29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August 31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assumed outstanding:</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692,153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720,522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3,</w:t>
            </w:r>
            <w:r>
              <w:rPr>
                <w:rFonts w:ascii="Arial" w:cs="Arial" w:eastAsia="Arial" w:hAnsi="Arial"/>
                <w:sz w:val="17"/>
                <w:szCs w:val="17"/>
                <w:color w:val="auto"/>
                <w:w w:val="91"/>
              </w:rPr>
              <w:t>723,166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729,456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734,102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r>
              <w:rPr>
                <w:rFonts w:ascii="Arial" w:cs="Arial" w:eastAsia="Arial" w:hAnsi="Arial"/>
                <w:sz w:val="17"/>
                <w:szCs w:val="17"/>
                <w:color w:val="auto"/>
              </w:rPr>
              <w:t>753,747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w:t>
            </w:r>
            <w:r>
              <w:rPr>
                <w:rFonts w:ascii="Arial" w:cs="Arial" w:eastAsia="Arial" w:hAnsi="Arial"/>
                <w:sz w:val="17"/>
                <w:szCs w:val="17"/>
                <w:color w:val="auto"/>
                <w:w w:val="90"/>
              </w:rPr>
              <w:t>58,646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w:t>
            </w:r>
            <w:r>
              <w:rPr>
                <w:rFonts w:ascii="Arial" w:cs="Arial" w:eastAsia="Arial" w:hAnsi="Arial"/>
                <w:sz w:val="17"/>
                <w:szCs w:val="17"/>
                <w:color w:val="auto"/>
              </w:rPr>
              <w:t>89,007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2"/>
                <w:szCs w:val="12"/>
                <w:color w:val="auto"/>
              </w:rPr>
            </w:pPr>
          </w:p>
        </w:tc>
        <w:tc>
          <w:tcPr>
            <w:tcW w:w="9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February 28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August 31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Fiscal year 2007:</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90"/>
              </w:rPr>
              <w:t>Net sales</w:t>
            </w: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4,617,374</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3,884,895</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4,407,798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3,918,963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1,672,319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1,425,831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1,531,786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399,914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1,122,224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596,203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718,800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972,181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(185,000)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990,224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448,203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627,800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1,157,181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Net income per share: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0.31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Weighted average common shares assumed outstanding: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3,624,314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3,664,248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3,679,016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3,679,412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3,665,677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3,690,260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3,708,626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3,713,366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-3397885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-3397885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Internal Control— Integrated Framework issued by the Committee of Sponsoring Organizations of the Treadway Commission. Based on that evaluation, NTIC’s management concluded that NTIC’s internal control over financial reporting was effective as of August 31, 2008.</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temporary rules of the Securities and Exchange Commission that permit NTIC to provide only management’s report in this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2008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25, 2008, NTIC’s Board of Directors, upon recommendation of the Compensation Committee, approved the material terms of an annual bonus plan for NTIC’s executive officers and certain employees for the fiscal year ending August 31, 2009, the purpose of which is to align the interests of NTIC, its executive officers and stockholders by providing an incentive for the achievement of key corporate and individual performance measures that are critical to the success of NTIC and linking a significant portion of each executive officer’s annual compensation to the achievement of such measures. The following is a brief summary of the material terms approved by the Board:</w:t>
      </w:r>
    </w:p>
    <w:p>
      <w:pPr>
        <w:spacing w:after="0" w:line="188"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NTIC’s earnings before interest, taxes and other income (EBITOI);</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420"/>
          </w:cols>
          <w:pgMar w:left="240" w:top="368" w:right="239" w:bottom="0" w:gutter="0" w:footer="0" w:header="0"/>
        </w:sectPr>
      </w:pPr>
    </w:p>
    <w:bookmarkStart w:id="40" w:name="page41"/>
    <w:bookmarkEnd w:id="40"/>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560"/>
        <w:spacing w:after="0" w:line="270" w:lineRule="auto"/>
        <w:rPr>
          <w:sz w:val="20"/>
          <w:szCs w:val="20"/>
          <w:color w:val="auto"/>
        </w:rPr>
      </w:pPr>
      <w:r>
        <w:rPr>
          <w:rFonts w:ascii="Arial" w:cs="Arial" w:eastAsia="Arial" w:hAnsi="Arial"/>
          <w:sz w:val="18"/>
          <w:szCs w:val="18"/>
          <w:color w:val="auto"/>
        </w:rPr>
        <w:t xml:space="preserve">The information in the “Proposal One – Election of Directors” section of </w:t>
      </w:r>
      <w:r>
        <w:rPr>
          <w:rFonts w:ascii="Arial" w:cs="Arial" w:eastAsia="Arial" w:hAnsi="Arial"/>
          <w:sz w:val="17"/>
          <w:szCs w:val="17"/>
          <w:color w:val="auto"/>
        </w:rPr>
        <w:t>NTIC’s definitive proxy statement to be filed with the Securities and Exchange</w:t>
      </w:r>
      <w:r>
        <w:rPr>
          <w:rFonts w:ascii="Arial" w:cs="Arial" w:eastAsia="Arial" w:hAnsi="Arial"/>
          <w:sz w:val="18"/>
          <w:szCs w:val="18"/>
          <w:color w:val="auto"/>
        </w:rPr>
        <w:t xml:space="preserve"> </w:t>
      </w:r>
      <w:r>
        <w:rPr>
          <w:rFonts w:ascii="Arial" w:cs="Arial" w:eastAsia="Arial" w:hAnsi="Arial"/>
          <w:sz w:val="17"/>
          <w:szCs w:val="17"/>
          <w:color w:val="auto"/>
        </w:rPr>
        <w:t>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 xml:space="preserve">The information in the “Other Matters—Section 16(a) Beneficial Ownership Reporting Compliance” section of </w:t>
      </w:r>
      <w:r>
        <w:rPr>
          <w:rFonts w:ascii="Arial" w:cs="Arial" w:eastAsia="Arial" w:hAnsi="Arial"/>
          <w:sz w:val="17"/>
          <w:szCs w:val="17"/>
          <w:color w:val="auto"/>
        </w:rPr>
        <w:t>NTIC’s definitive proxy statement to be filed</w:t>
      </w:r>
      <w:r>
        <w:rPr>
          <w:rFonts w:ascii="Arial" w:cs="Arial" w:eastAsia="Arial" w:hAnsi="Arial"/>
          <w:sz w:val="18"/>
          <w:szCs w:val="18"/>
          <w:color w:val="auto"/>
        </w:rPr>
        <w:t xml:space="preserve"> </w:t>
      </w:r>
      <w:r>
        <w:rPr>
          <w:rFonts w:ascii="Arial" w:cs="Arial" w:eastAsia="Arial" w:hAnsi="Arial"/>
          <w:sz w:val="17"/>
          <w:szCs w:val="17"/>
          <w:color w:val="auto"/>
        </w:rPr>
        <w:t>with the Securities and Exchange 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fourth quarter of fiscal 2008, NTIC made no material changes to the procedures by which stockholders may recommend nominees to NTIC’s Board of Directors, as described in NTIC’s most recent proxy statement. Subsequent to the end of fiscal 2008, however, NTIC’s Board of Directors adopted amendments to NTIC’s Bylaws to change the notice period and expand the information required to be provided by a stockholder who submits a nomination for election to NTIC’s Board of Directors or other proposal for business to be brought before a meeting of NTIC’s stockholders. The amendments change the standard advance notice period for stockholder nominations of directors or other proposals (other than those properly made pursuant to Rule 14a-8 under the Securities Exchange Act of 1934, as amended, and included in NTIC’s notice of meeting) to not less than 90 days and not more than 120 days prior to the first anniversary of the preceding year’s annual meeting of stockholders, as compared to the prior advance notice period of not less than 90 days and not more than 120 days prior to the annual meeting of stockholders. In addition, the amendments require a stockholder who submits a director nomination or other proposal to disclose, among other things, information about the proposed nominee and his or her relationships with the stockholder submitting the nomination, information about any agreements, arrangements or understandings the stockholder may have with the proposed nominee or other parties relating to the nomination or other proposal, and information about the interests that the stockholder has related to NTIC and its shares, including as a result of, among other things, derivative securities, voting arrangements, short positions or other interests. A stockholder who submits a nomination or proposal is required to update the information previously disclosed as of the record date for the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Item 5.05 of Form 8-K regarding amendments to or waivers from any provision of its code of ethics by posting such information on its corporate website at www.ntic.com.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 xml:space="preserve">The information in the </w:t>
      </w:r>
      <w:r>
        <w:rPr>
          <w:rFonts w:ascii="Arial" w:cs="Arial" w:eastAsia="Arial" w:hAnsi="Arial"/>
          <w:sz w:val="17"/>
          <w:szCs w:val="17"/>
          <w:color w:val="auto"/>
        </w:rPr>
        <w:t>“Corporate Governance—Audit Committee” section of NTIC’s definitive proxy statement to be filed with the Securities and Exchange</w:t>
      </w:r>
      <w:r>
        <w:rPr>
          <w:rFonts w:ascii="Arial" w:cs="Arial" w:eastAsia="Arial" w:hAnsi="Arial"/>
          <w:sz w:val="18"/>
          <w:szCs w:val="18"/>
          <w:color w:val="auto"/>
        </w:rPr>
        <w:t xml:space="preserve"> </w:t>
      </w:r>
      <w:r>
        <w:rPr>
          <w:rFonts w:ascii="Arial" w:cs="Arial" w:eastAsia="Arial" w:hAnsi="Arial"/>
          <w:sz w:val="17"/>
          <w:szCs w:val="17"/>
          <w:color w:val="auto"/>
        </w:rPr>
        <w:t>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0"/>
        <w:spacing w:after="0" w:line="270" w:lineRule="auto"/>
        <w:rPr>
          <w:sz w:val="20"/>
          <w:szCs w:val="20"/>
          <w:color w:val="auto"/>
        </w:rPr>
      </w:pPr>
      <w:r>
        <w:rPr>
          <w:rFonts w:ascii="Arial" w:cs="Arial" w:eastAsia="Arial" w:hAnsi="Arial"/>
          <w:sz w:val="18"/>
          <w:szCs w:val="18"/>
          <w:color w:val="auto"/>
        </w:rPr>
        <w:t xml:space="preserve">The information in the “Director Compensation” and “Executive Compensation” sections of </w:t>
      </w:r>
      <w:r>
        <w:rPr>
          <w:rFonts w:ascii="Arial" w:cs="Arial" w:eastAsia="Arial" w:hAnsi="Arial"/>
          <w:sz w:val="17"/>
          <w:szCs w:val="17"/>
          <w:color w:val="auto"/>
        </w:rPr>
        <w:t>NTIC’s definitive proxy statement to be filed with the Securities</w:t>
      </w:r>
      <w:r>
        <w:rPr>
          <w:rFonts w:ascii="Arial" w:cs="Arial" w:eastAsia="Arial" w:hAnsi="Arial"/>
          <w:sz w:val="18"/>
          <w:szCs w:val="18"/>
          <w:color w:val="auto"/>
        </w:rPr>
        <w:t xml:space="preserve"> </w:t>
      </w:r>
      <w:r>
        <w:rPr>
          <w:rFonts w:ascii="Arial" w:cs="Arial" w:eastAsia="Arial" w:hAnsi="Arial"/>
          <w:sz w:val="17"/>
          <w:szCs w:val="17"/>
          <w:color w:val="auto"/>
        </w:rPr>
        <w:t>and Exchange 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ind w:left="900" w:right="640" w:hanging="894"/>
        <w:spacing w:after="0" w:line="282" w:lineRule="auto"/>
        <w:tabs>
          <w:tab w:leader="none" w:pos="8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 xml:space="preserve">The information in the “Security Ownership of Principal Stockholders and Management” section of </w:t>
      </w:r>
      <w:r>
        <w:rPr>
          <w:rFonts w:ascii="Arial" w:cs="Arial" w:eastAsia="Arial" w:hAnsi="Arial"/>
          <w:sz w:val="17"/>
          <w:szCs w:val="17"/>
          <w:color w:val="auto"/>
        </w:rPr>
        <w:t>NTIC’s definitive proxy statement to be filed with the</w:t>
      </w:r>
      <w:r>
        <w:rPr>
          <w:rFonts w:ascii="Arial" w:cs="Arial" w:eastAsia="Arial" w:hAnsi="Arial"/>
          <w:sz w:val="18"/>
          <w:szCs w:val="18"/>
          <w:color w:val="auto"/>
        </w:rPr>
        <w:t xml:space="preserve"> </w:t>
      </w:r>
      <w:r>
        <w:rPr>
          <w:rFonts w:ascii="Arial" w:cs="Arial" w:eastAsia="Arial" w:hAnsi="Arial"/>
          <w:sz w:val="17"/>
          <w:szCs w:val="17"/>
          <w:color w:val="auto"/>
        </w:rPr>
        <w:t>Securities and Exchange 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table summarizes outstanding options under NTIC’s equity compensation plans as of August 31, 2008. NTIC’s equity compensation plans as of August 31, 2008 were the Northern Technologies International Corporation 2007 Stock Incentive Plan, the Northern Technologies International</w:t>
      </w:r>
    </w:p>
    <w:p>
      <w:pPr>
        <w:sectPr>
          <w:pgSz w:w="11900" w:h="16838" w:orient="portrait"/>
          <w:cols w:equalWidth="0" w:num="1">
            <w:col w:w="11420"/>
          </w:cols>
          <w:pgMar w:left="240" w:top="337" w:right="239" w:bottom="0" w:gutter="0" w:footer="0" w:header="0"/>
        </w:sectPr>
      </w:pPr>
    </w:p>
    <w:bookmarkStart w:id="41" w:name="page42"/>
    <w:bookmarkEnd w:id="41"/>
    <w:p>
      <w:pPr>
        <w:ind w:right="200"/>
        <w:spacing w:after="0" w:line="275" w:lineRule="auto"/>
        <w:rPr>
          <w:sz w:val="20"/>
          <w:szCs w:val="20"/>
          <w:color w:val="auto"/>
        </w:rPr>
      </w:pPr>
      <w:r>
        <w:rPr>
          <w:rFonts w:ascii="Arial" w:cs="Arial" w:eastAsia="Arial" w:hAnsi="Arial"/>
          <w:sz w:val="18"/>
          <w:szCs w:val="18"/>
          <w:color w:val="auto"/>
        </w:rPr>
        <w:t xml:space="preserve">Corporation 2000 Stock Incentive Plan and the Northern Technologies International Corporation Employee Stock Purchase Plan. </w:t>
      </w:r>
      <w:r>
        <w:rPr>
          <w:rFonts w:ascii="Arial" w:cs="Arial" w:eastAsia="Arial" w:hAnsi="Arial"/>
          <w:sz w:val="17"/>
          <w:szCs w:val="17"/>
          <w:color w:val="auto"/>
        </w:rPr>
        <w:t>No future options or other</w:t>
      </w:r>
      <w:r>
        <w:rPr>
          <w:rFonts w:ascii="Arial" w:cs="Arial" w:eastAsia="Arial" w:hAnsi="Arial"/>
          <w:sz w:val="18"/>
          <w:szCs w:val="18"/>
          <w:color w:val="auto"/>
        </w:rPr>
        <w:t xml:space="preserve"> </w:t>
      </w:r>
      <w:r>
        <w:rPr>
          <w:rFonts w:ascii="Arial" w:cs="Arial" w:eastAsia="Arial" w:hAnsi="Arial"/>
          <w:sz w:val="17"/>
          <w:szCs w:val="17"/>
          <w:color w:val="auto"/>
        </w:rPr>
        <w:t>incentive awards will be granted under the Northern Technologies International Corporation 2000 Stock Incentive Plan.</w:t>
      </w:r>
    </w:p>
    <w:p>
      <w:pPr>
        <w:spacing w:after="0" w:line="17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 xml:space="preserve">Except for automatic annual grants of options to purchase 4,000 shares of NTIC common stock to NTIC’s directors </w:t>
      </w:r>
      <w:r>
        <w:rPr>
          <w:rFonts w:ascii="Arial" w:cs="Arial" w:eastAsia="Arial" w:hAnsi="Arial"/>
          <w:sz w:val="17"/>
          <w:szCs w:val="17"/>
          <w:color w:val="auto"/>
        </w:rPr>
        <w:t>in consideration for their services as</w:t>
      </w:r>
      <w:r>
        <w:rPr>
          <w:rFonts w:ascii="Arial" w:cs="Arial" w:eastAsia="Arial" w:hAnsi="Arial"/>
          <w:sz w:val="18"/>
          <w:szCs w:val="18"/>
          <w:color w:val="auto"/>
        </w:rPr>
        <w:t xml:space="preserve"> </w:t>
      </w:r>
      <w:r>
        <w:rPr>
          <w:rFonts w:ascii="Arial" w:cs="Arial" w:eastAsia="Arial" w:hAnsi="Arial"/>
          <w:sz w:val="17"/>
          <w:szCs w:val="17"/>
          <w:color w:val="auto"/>
        </w:rPr>
        <w:t>directors of NTIC and an automatic annual grant of an option to purchase 2,000 shares of NTIC common stock to NTIC’s Chairman of the Board in consideration for his services as Chairman on the first day of each fiscal year, options granted in the future under the Northern Technologies International Corporation 2007 Stock Incentive Plan are within the discretion of the Board of Directors and the Compensation Committee of the Board of Directors and therefore cannot be ascertained at this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w:t>
            </w:r>
          </w:p>
        </w:tc>
        <w:tc>
          <w:tcPr>
            <w:tcW w:w="2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Number of Securities to</w:t>
            </w:r>
          </w:p>
        </w:tc>
        <w:tc>
          <w:tcPr>
            <w:tcW w:w="240" w:type="dxa"/>
            <w:vAlign w:val="bottom"/>
          </w:tcPr>
          <w:p>
            <w:pPr>
              <w:spacing w:after="0"/>
              <w:rPr>
                <w:sz w:val="12"/>
                <w:szCs w:val="12"/>
                <w:color w:val="auto"/>
              </w:rPr>
            </w:pPr>
          </w:p>
        </w:tc>
        <w:tc>
          <w:tcPr>
            <w:tcW w:w="2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Weighted-Average</w:t>
            </w: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240" w:type="dxa"/>
            <w:vAlign w:val="bottom"/>
          </w:tcPr>
          <w:p>
            <w:pPr>
              <w:spacing w:after="0"/>
              <w:rPr>
                <w:sz w:val="12"/>
                <w:szCs w:val="12"/>
                <w:color w:val="auto"/>
              </w:rPr>
            </w:pPr>
          </w:p>
        </w:tc>
        <w:tc>
          <w:tcPr>
            <w:tcW w:w="2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40" w:type="dxa"/>
            <w:vAlign w:val="bottom"/>
          </w:tcPr>
          <w:p>
            <w:pPr>
              <w:spacing w:after="0"/>
              <w:rPr>
                <w:sz w:val="12"/>
                <w:szCs w:val="12"/>
                <w:color w:val="auto"/>
              </w:rPr>
            </w:pPr>
          </w:p>
        </w:tc>
        <w:tc>
          <w:tcPr>
            <w:tcW w:w="2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Warrants and Rights</w:t>
            </w:r>
          </w:p>
        </w:tc>
        <w:tc>
          <w:tcPr>
            <w:tcW w:w="240" w:type="dxa"/>
            <w:vAlign w:val="bottom"/>
          </w:tcPr>
          <w:p>
            <w:pPr>
              <w:spacing w:after="0"/>
              <w:rPr>
                <w:sz w:val="14"/>
                <w:szCs w:val="14"/>
                <w:color w:val="auto"/>
              </w:rPr>
            </w:pPr>
          </w:p>
        </w:tc>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Warrants and Rights</w:t>
            </w:r>
          </w:p>
        </w:tc>
        <w:tc>
          <w:tcPr>
            <w:tcW w:w="2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5"/>
        </w:trPr>
        <w:tc>
          <w:tcPr>
            <w:tcW w:w="3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Equity compensation plans approved by security</w:t>
            </w:r>
          </w:p>
        </w:tc>
        <w:tc>
          <w:tcPr>
            <w:tcW w:w="3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119,472(1)(2)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419,090(3)</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26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1580"/>
              <w:spacing w:after="0"/>
              <w:rPr>
                <w:sz w:val="20"/>
                <w:szCs w:val="20"/>
                <w:color w:val="auto"/>
              </w:rPr>
            </w:pPr>
            <w:r>
              <w:rPr>
                <w:rFonts w:ascii="Arial" w:cs="Arial" w:eastAsia="Arial" w:hAnsi="Arial"/>
                <w:sz w:val="18"/>
                <w:szCs w:val="18"/>
                <w:b w:val="1"/>
                <w:bCs w:val="1"/>
                <w:color w:val="auto"/>
              </w:rPr>
              <w:t>Total</w:t>
            </w:r>
          </w:p>
        </w:tc>
        <w:tc>
          <w:tcPr>
            <w:tcW w:w="20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shd w:val="clear" w:color="auto" w:fill="CCEEFF"/>
          </w:tcPr>
          <w:p>
            <w:pPr>
              <w:spacing w:after="0"/>
              <w:rPr>
                <w:sz w:val="18"/>
                <w:szCs w:val="18"/>
                <w:color w:val="auto"/>
              </w:rPr>
            </w:pP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119,472(1)(2)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80" w:type="dxa"/>
            <w:vAlign w:val="bottom"/>
            <w:vMerge w:val="continue"/>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80" w:right="200" w:hanging="660"/>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2008 under the Northern Technologies International Corporation 2007 Stock Incentive Plan and the Northern Technologies International Corporation 2000 Stock Incentive Plan.</w:t>
      </w:r>
    </w:p>
    <w:p>
      <w:pPr>
        <w:spacing w:after="0" w:line="181" w:lineRule="exact"/>
        <w:rPr>
          <w:rFonts w:ascii="Arial" w:cs="Arial" w:eastAsia="Arial" w:hAnsi="Arial"/>
          <w:sz w:val="18"/>
          <w:szCs w:val="18"/>
          <w:color w:val="auto"/>
        </w:rPr>
      </w:pPr>
    </w:p>
    <w:p>
      <w:pPr>
        <w:ind w:left="680" w:right="100" w:hanging="660"/>
        <w:spacing w:after="0" w:line="232"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3" w:lineRule="exact"/>
        <w:rPr>
          <w:rFonts w:ascii="Arial" w:cs="Arial" w:eastAsia="Arial" w:hAnsi="Arial"/>
          <w:sz w:val="18"/>
          <w:szCs w:val="18"/>
          <w:color w:val="auto"/>
        </w:rPr>
      </w:pPr>
    </w:p>
    <w:p>
      <w:pPr>
        <w:ind w:left="680" w:right="80" w:hanging="660"/>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includes 329,933 shares remaining available at August 31, 2008 for future issuance under Northern Technologies International Corporation 2007 Stock Incentive Plan and 89,157 shares remaining available at August 31, 2008 for future issuance under the Northern Technologies International Corporation Employee Stock Purchase Plan.</w:t>
      </w:r>
    </w:p>
    <w:p>
      <w:pPr>
        <w:spacing w:after="0" w:line="17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PARTY TRANSACTIONS, AND DIRECTOR INDEPENDENCE</w:t>
      </w:r>
    </w:p>
    <w:p>
      <w:pPr>
        <w:spacing w:after="0" w:line="229"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 xml:space="preserve">The information in the “Related Party Relationships and Transactions” and “Corporate Governance—Director Independence” sections of </w:t>
      </w:r>
      <w:r>
        <w:rPr>
          <w:rFonts w:ascii="Arial" w:cs="Arial" w:eastAsia="Arial" w:hAnsi="Arial"/>
          <w:sz w:val="17"/>
          <w:szCs w:val="17"/>
          <w:color w:val="auto"/>
        </w:rPr>
        <w:t>NTIC’s definitive</w:t>
      </w:r>
      <w:r>
        <w:rPr>
          <w:rFonts w:ascii="Arial" w:cs="Arial" w:eastAsia="Arial" w:hAnsi="Arial"/>
          <w:sz w:val="18"/>
          <w:szCs w:val="18"/>
          <w:color w:val="auto"/>
        </w:rPr>
        <w:t xml:space="preserve"> </w:t>
      </w:r>
      <w:r>
        <w:rPr>
          <w:rFonts w:ascii="Arial" w:cs="Arial" w:eastAsia="Arial" w:hAnsi="Arial"/>
          <w:sz w:val="17"/>
          <w:szCs w:val="17"/>
          <w:color w:val="auto"/>
        </w:rPr>
        <w:t>proxy statement to be filed with the Securities and Exchange Commission with respect to NTIC’s next annual meeting of stockholders, which involves the election of directors, is incorporated in this annual report on Form 10-K by reference.</w:t>
      </w:r>
    </w:p>
    <w:p>
      <w:pPr>
        <w:spacing w:after="0" w:line="17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information in the </w:t>
      </w:r>
      <w:r>
        <w:rPr>
          <w:rFonts w:ascii="Arial" w:cs="Arial" w:eastAsia="Arial" w:hAnsi="Arial"/>
          <w:sz w:val="17"/>
          <w:szCs w:val="17"/>
          <w:color w:val="auto"/>
        </w:rPr>
        <w:t>“Proposal Four—Ratification of Selection of Independent Registered Public Accounting Firm—Audit, Audit-Related, Tax and Other</w:t>
      </w:r>
      <w:r>
        <w:rPr>
          <w:rFonts w:ascii="Arial" w:cs="Arial" w:eastAsia="Arial" w:hAnsi="Arial"/>
          <w:sz w:val="18"/>
          <w:szCs w:val="18"/>
          <w:color w:val="auto"/>
        </w:rPr>
        <w:t xml:space="preserve"> </w:t>
      </w:r>
      <w:r>
        <w:rPr>
          <w:rFonts w:ascii="Arial" w:cs="Arial" w:eastAsia="Arial" w:hAnsi="Arial"/>
          <w:sz w:val="17"/>
          <w:szCs w:val="17"/>
          <w:color w:val="auto"/>
        </w:rPr>
        <w:t>Fees” and “Proposal Four—Ratification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hereinafter contained, at page 69 of this report.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 pursuant to Item 13(a):</w:t>
      </w:r>
    </w:p>
    <w:p>
      <w:pPr>
        <w:spacing w:after="0" w:line="211" w:lineRule="exact"/>
        <w:rPr>
          <w:sz w:val="20"/>
          <w:szCs w:val="20"/>
          <w:color w:val="auto"/>
        </w:rPr>
      </w:pPr>
    </w:p>
    <w:p>
      <w:pPr>
        <w:ind w:left="1300" w:right="220" w:hanging="644"/>
        <w:spacing w:after="0" w:line="277" w:lineRule="auto"/>
        <w:tabs>
          <w:tab w:leader="none" w:pos="1299"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2000 Stock Incentive Plan (incorporated by reference to Exhibit 10.4 to NTIC’s Annual Report on Form 10-KSB for the fiscal year ended August 31, 2000).</w:t>
      </w:r>
    </w:p>
    <w:p>
      <w:pPr>
        <w:sectPr>
          <w:pgSz w:w="11900" w:h="16838" w:orient="portrait"/>
          <w:cols w:equalWidth="0" w:num="1">
            <w:col w:w="11420"/>
          </w:cols>
          <w:pgMar w:left="240" w:top="125" w:right="239" w:bottom="139" w:gutter="0" w:footer="0" w:header="0"/>
        </w:sectPr>
      </w:pPr>
    </w:p>
    <w:bookmarkStart w:id="42" w:name="page43"/>
    <w:bookmarkEnd w:id="42"/>
    <w:p>
      <w:pPr>
        <w:ind w:left="1300" w:right="180" w:hanging="644"/>
        <w:spacing w:after="0" w:line="308" w:lineRule="auto"/>
        <w:tabs>
          <w:tab w:leader="none" w:pos="13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2000 Stock Incentive Plan (incorporated by reference to Exhibit 10.5 to NTIC’s Annual Report on Form 10-KSB for the fiscal year ended August 31, 2000).</w:t>
      </w:r>
    </w:p>
    <w:p>
      <w:pPr>
        <w:spacing w:after="0" w:line="146" w:lineRule="exact"/>
        <w:rPr>
          <w:rFonts w:ascii="Arial" w:cs="Arial" w:eastAsia="Arial" w:hAnsi="Arial"/>
          <w:sz w:val="17"/>
          <w:szCs w:val="17"/>
          <w:color w:val="auto"/>
        </w:rPr>
      </w:pPr>
    </w:p>
    <w:p>
      <w:pPr>
        <w:jc w:val="both"/>
        <w:ind w:left="1300" w:right="780" w:hanging="644"/>
        <w:spacing w:after="0" w:line="342" w:lineRule="auto"/>
        <w:tabs>
          <w:tab w:leader="none" w:pos="13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2000 Stock Incentive Plan (incorporated by reference to Exhibit 10.6 to NTIC’s Annual Report on Form 10-KSB for the fiscal year ended August 31, 2000).</w:t>
      </w:r>
    </w:p>
    <w:p>
      <w:pPr>
        <w:spacing w:after="0" w:line="123" w:lineRule="exact"/>
        <w:rPr>
          <w:rFonts w:ascii="Arial" w:cs="Arial" w:eastAsia="Arial" w:hAnsi="Arial"/>
          <w:sz w:val="16"/>
          <w:szCs w:val="16"/>
          <w:color w:val="auto"/>
        </w:rPr>
      </w:pPr>
    </w:p>
    <w:p>
      <w:pPr>
        <w:ind w:left="1300" w:right="220" w:hanging="644"/>
        <w:spacing w:after="0" w:line="277" w:lineRule="auto"/>
        <w:tabs>
          <w:tab w:leader="none" w:pos="13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2007 Stock Incentive Plan (incorporated by reference to Exhibit 10.7 to NTIC’s Annual Report on Form 10-KSB for the fiscal year ended August 31, 2006).</w:t>
      </w:r>
    </w:p>
    <w:p>
      <w:pPr>
        <w:spacing w:after="0" w:line="170" w:lineRule="exact"/>
        <w:rPr>
          <w:rFonts w:ascii="Arial" w:cs="Arial" w:eastAsia="Arial" w:hAnsi="Arial"/>
          <w:sz w:val="18"/>
          <w:szCs w:val="18"/>
          <w:color w:val="auto"/>
        </w:rPr>
      </w:pPr>
    </w:p>
    <w:p>
      <w:pPr>
        <w:ind w:left="1300" w:right="160" w:hanging="644"/>
        <w:spacing w:after="0" w:line="308" w:lineRule="auto"/>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Form of Incentive Stock Option Agreement for Northern Technologies International Corporation 2007 Stock Incentive Plan (incorporated by reference to Exhibit 10.8 to NTIC’s Annual Report on Form 10-KSB for the fiscal year ended August 31, 2006).</w:t>
      </w:r>
    </w:p>
    <w:p>
      <w:pPr>
        <w:spacing w:after="0" w:line="146" w:lineRule="exact"/>
        <w:rPr>
          <w:rFonts w:ascii="Arial" w:cs="Arial" w:eastAsia="Arial" w:hAnsi="Arial"/>
          <w:sz w:val="17"/>
          <w:szCs w:val="17"/>
          <w:color w:val="auto"/>
        </w:rPr>
      </w:pPr>
    </w:p>
    <w:p>
      <w:pPr>
        <w:jc w:val="both"/>
        <w:ind w:left="1300" w:right="780" w:hanging="644"/>
        <w:spacing w:after="0" w:line="342"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 of Non-Qualified Stock Option Agreement for Northern Technologies International Corporation 2007 Stock Incentive Plan (incorporated by reference to Exhibit 10.9 to NTIC’s Annual Report on Form 10-KSB for the fiscal year ended August 31, 2006).</w:t>
      </w:r>
    </w:p>
    <w:p>
      <w:pPr>
        <w:spacing w:after="0" w:line="123" w:lineRule="exact"/>
        <w:rPr>
          <w:rFonts w:ascii="Arial" w:cs="Arial" w:eastAsia="Arial" w:hAnsi="Arial"/>
          <w:sz w:val="16"/>
          <w:szCs w:val="16"/>
          <w:color w:val="auto"/>
        </w:rPr>
      </w:pPr>
    </w:p>
    <w:p>
      <w:pPr>
        <w:ind w:left="1300" w:right="420" w:hanging="644"/>
        <w:spacing w:after="0" w:line="308" w:lineRule="auto"/>
        <w:tabs>
          <w:tab w:leader="none" w:pos="13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Form of Restricted Stock Agreement for Northern Technologies International Corporation 2007 Stock Incentive Plan (incorporated by reference to Exhibit 10.10 to NTIC’s Annual Report on Form 10-KSB for the fiscal year ended August 31, 2006).</w:t>
      </w:r>
    </w:p>
    <w:p>
      <w:pPr>
        <w:spacing w:after="0" w:line="146" w:lineRule="exact"/>
        <w:rPr>
          <w:rFonts w:ascii="Arial" w:cs="Arial" w:eastAsia="Arial" w:hAnsi="Arial"/>
          <w:sz w:val="17"/>
          <w:szCs w:val="17"/>
          <w:color w:val="auto"/>
        </w:rPr>
      </w:pPr>
    </w:p>
    <w:p>
      <w:pPr>
        <w:ind w:left="1300" w:right="360" w:hanging="644"/>
        <w:spacing w:after="0" w:line="277" w:lineRule="auto"/>
        <w:tabs>
          <w:tab w:leader="none" w:pos="13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70" w:lineRule="exact"/>
        <w:rPr>
          <w:rFonts w:ascii="Arial" w:cs="Arial" w:eastAsia="Arial" w:hAnsi="Arial"/>
          <w:sz w:val="18"/>
          <w:szCs w:val="18"/>
          <w:color w:val="auto"/>
        </w:rPr>
      </w:pPr>
    </w:p>
    <w:p>
      <w:pPr>
        <w:ind w:left="1300" w:right="80" w:hanging="644"/>
        <w:spacing w:after="0" w:line="308" w:lineRule="auto"/>
        <w:tabs>
          <w:tab w:leader="none" w:pos="13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Form of Indemnification Agreement between Northern Technologies International Corporation and its Directors and Officers (incorporated by reference to Exhibit 10.1 to NTIC’s Current Report on Form 8-K as filed with the SEC on November 24, 2008).</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Executive Officer Compensation Arrangements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154305</wp:posOffset>
            </wp:positionV>
            <wp:extent cx="1732280" cy="403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322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November 25, 2008</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4"/>
                <w:szCs w:val="14"/>
                <w:color w:val="auto"/>
              </w:rPr>
            </w:pPr>
          </w:p>
        </w:tc>
        <w:tc>
          <w:tcPr>
            <w:tcW w:w="4500" w:type="dxa"/>
            <w:vAlign w:val="bottom"/>
            <w:gridSpan w:val="2"/>
          </w:tcPr>
          <w:p>
            <w:pPr>
              <w:ind w:left="1900"/>
              <w:spacing w:after="0"/>
              <w:rPr>
                <w:sz w:val="20"/>
                <w:szCs w:val="20"/>
                <w:color w:val="auto"/>
              </w:rPr>
            </w:pPr>
            <w:r>
              <w:rPr>
                <w:rFonts w:ascii="Arial" w:cs="Arial" w:eastAsia="Arial" w:hAnsi="Arial"/>
                <w:sz w:val="14"/>
                <w:szCs w:val="14"/>
                <w:b w:val="1"/>
                <w:bCs w:val="1"/>
                <w:color w:val="auto"/>
              </w:rPr>
              <w:t>Title</w:t>
            </w:r>
          </w:p>
        </w:tc>
        <w:tc>
          <w:tcPr>
            <w:tcW w:w="2460" w:type="dxa"/>
            <w:vAlign w:val="bottom"/>
          </w:tcPr>
          <w:p>
            <w:pPr>
              <w:ind w:left="1080"/>
              <w:spacing w:after="0"/>
              <w:rPr>
                <w:sz w:val="20"/>
                <w:szCs w:val="20"/>
                <w:color w:val="auto"/>
              </w:rPr>
            </w:pPr>
            <w:r>
              <w:rPr>
                <w:rFonts w:ascii="Arial" w:cs="Arial" w:eastAsia="Arial" w:hAnsi="Arial"/>
                <w:sz w:val="14"/>
                <w:szCs w:val="14"/>
                <w:b w:val="1"/>
                <w:bCs w:val="1"/>
                <w:color w:val="auto"/>
              </w:rPr>
              <w:t>Date</w:t>
            </w:r>
          </w:p>
        </w:tc>
      </w:tr>
      <w:tr>
        <w:trPr>
          <w:trHeight w:val="210"/>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 G. Patrick Lynch</w:t>
            </w:r>
          </w:p>
        </w:tc>
        <w:tc>
          <w:tcPr>
            <w:tcW w:w="40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and</w:t>
            </w:r>
          </w:p>
        </w:tc>
        <w:tc>
          <w:tcPr>
            <w:tcW w:w="420" w:type="dxa"/>
            <w:vAlign w:val="bottom"/>
          </w:tcPr>
          <w:p>
            <w:pPr>
              <w:spacing w:after="0"/>
              <w:rPr>
                <w:sz w:val="18"/>
                <w:szCs w:val="18"/>
                <w:color w:val="auto"/>
              </w:rPr>
            </w:pPr>
          </w:p>
        </w:tc>
        <w:tc>
          <w:tcPr>
            <w:tcW w:w="2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November 25, 2008</w:t>
            </w:r>
          </w:p>
        </w:tc>
      </w:tr>
      <w:tr>
        <w:trPr>
          <w:trHeight w:val="195"/>
        </w:trPr>
        <w:tc>
          <w:tcPr>
            <w:tcW w:w="4060" w:type="dxa"/>
            <w:vAlign w:val="bottom"/>
          </w:tcPr>
          <w:p>
            <w:pPr>
              <w:ind w:left="20"/>
              <w:spacing w:after="0" w:line="195" w:lineRule="exact"/>
              <w:rPr>
                <w:sz w:val="20"/>
                <w:szCs w:val="20"/>
                <w:color w:val="auto"/>
              </w:rPr>
            </w:pPr>
            <w:r>
              <w:rPr>
                <w:rFonts w:ascii="Arial" w:cs="Arial" w:eastAsia="Arial" w:hAnsi="Arial"/>
                <w:sz w:val="18"/>
                <w:szCs w:val="18"/>
                <w:color w:val="auto"/>
              </w:rPr>
              <w:t>G. Patrick Lynch</w:t>
            </w:r>
          </w:p>
        </w:tc>
        <w:tc>
          <w:tcPr>
            <w:tcW w:w="400" w:type="dxa"/>
            <w:vAlign w:val="bottom"/>
          </w:tcPr>
          <w:p>
            <w:pPr>
              <w:spacing w:after="0"/>
              <w:rPr>
                <w:sz w:val="16"/>
                <w:szCs w:val="16"/>
                <w:color w:val="auto"/>
              </w:rPr>
            </w:pPr>
          </w:p>
        </w:tc>
        <w:tc>
          <w:tcPr>
            <w:tcW w:w="4500" w:type="dxa"/>
            <w:vAlign w:val="bottom"/>
            <w:gridSpan w:val="2"/>
          </w:tcPr>
          <w:p>
            <w:pPr>
              <w:spacing w:after="0" w:line="195" w:lineRule="exact"/>
              <w:rPr>
                <w:sz w:val="20"/>
                <w:szCs w:val="20"/>
                <w:color w:val="auto"/>
              </w:rPr>
            </w:pPr>
            <w:r>
              <w:rPr>
                <w:rFonts w:ascii="Arial" w:cs="Arial" w:eastAsia="Arial" w:hAnsi="Arial"/>
                <w:sz w:val="18"/>
                <w:szCs w:val="18"/>
                <w:color w:val="auto"/>
              </w:rPr>
              <w:t>Director</w:t>
            </w:r>
          </w:p>
        </w:tc>
        <w:tc>
          <w:tcPr>
            <w:tcW w:w="2460" w:type="dxa"/>
            <w:vAlign w:val="bottom"/>
          </w:tcPr>
          <w:p>
            <w:pPr>
              <w:spacing w:after="0"/>
              <w:rPr>
                <w:sz w:val="16"/>
                <w:szCs w:val="16"/>
                <w:color w:val="auto"/>
              </w:rPr>
            </w:pPr>
          </w:p>
        </w:tc>
      </w:tr>
      <w:tr>
        <w:trPr>
          <w:trHeight w:val="230"/>
        </w:trPr>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20"/>
                <w:szCs w:val="20"/>
                <w:color w:val="auto"/>
              </w:rPr>
            </w:pPr>
          </w:p>
        </w:tc>
      </w:tr>
      <w:tr>
        <w:trPr>
          <w:trHeight w:val="43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C. Wolsfeld, CPA</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25, 2008</w:t>
            </w:r>
          </w:p>
        </w:tc>
      </w:tr>
      <w:tr>
        <w:trPr>
          <w:trHeight w:val="195"/>
        </w:trPr>
        <w:tc>
          <w:tcPr>
            <w:tcW w:w="4060" w:type="dxa"/>
            <w:vAlign w:val="bottom"/>
          </w:tcPr>
          <w:p>
            <w:pPr>
              <w:ind w:left="20"/>
              <w:spacing w:after="0" w:line="195" w:lineRule="exact"/>
              <w:rPr>
                <w:sz w:val="20"/>
                <w:szCs w:val="20"/>
                <w:color w:val="auto"/>
              </w:rPr>
            </w:pPr>
            <w:r>
              <w:rPr>
                <w:rFonts w:ascii="Arial" w:cs="Arial" w:eastAsia="Arial" w:hAnsi="Arial"/>
                <w:sz w:val="18"/>
                <w:szCs w:val="18"/>
                <w:color w:val="auto"/>
              </w:rPr>
              <w:t>Matthew C. Wolsfeld, CPA</w:t>
            </w:r>
          </w:p>
        </w:tc>
        <w:tc>
          <w:tcPr>
            <w:tcW w:w="400" w:type="dxa"/>
            <w:vAlign w:val="bottom"/>
          </w:tcPr>
          <w:p>
            <w:pPr>
              <w:spacing w:after="0"/>
              <w:rPr>
                <w:sz w:val="16"/>
                <w:szCs w:val="16"/>
                <w:color w:val="auto"/>
              </w:rPr>
            </w:pPr>
          </w:p>
        </w:tc>
        <w:tc>
          <w:tcPr>
            <w:tcW w:w="4500" w:type="dxa"/>
            <w:vAlign w:val="bottom"/>
            <w:gridSpan w:val="2"/>
          </w:tcPr>
          <w:p>
            <w:pPr>
              <w:spacing w:after="0" w:line="195" w:lineRule="exact"/>
              <w:rPr>
                <w:sz w:val="20"/>
                <w:szCs w:val="20"/>
                <w:color w:val="auto"/>
              </w:rPr>
            </w:pPr>
            <w:r>
              <w:rPr>
                <w:rFonts w:ascii="Arial" w:cs="Arial" w:eastAsia="Arial" w:hAnsi="Arial"/>
                <w:sz w:val="18"/>
                <w:szCs w:val="18"/>
                <w:color w:val="auto"/>
              </w:rPr>
              <w:t>Secretary</w:t>
            </w:r>
          </w:p>
        </w:tc>
        <w:tc>
          <w:tcPr>
            <w:tcW w:w="2460" w:type="dxa"/>
            <w:vAlign w:val="bottom"/>
          </w:tcPr>
          <w:p>
            <w:pPr>
              <w:spacing w:after="0"/>
              <w:rPr>
                <w:sz w:val="16"/>
                <w:szCs w:val="16"/>
                <w:color w:val="auto"/>
              </w:rPr>
            </w:pPr>
          </w:p>
        </w:tc>
      </w:tr>
      <w:tr>
        <w:trPr>
          <w:trHeight w:val="230"/>
        </w:trPr>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460" w:type="dxa"/>
            <w:vAlign w:val="bottom"/>
          </w:tcPr>
          <w:p>
            <w:pPr>
              <w:spacing w:after="0"/>
              <w:rPr>
                <w:sz w:val="20"/>
                <w:szCs w:val="20"/>
                <w:color w:val="auto"/>
              </w:rPr>
            </w:pPr>
          </w:p>
        </w:tc>
      </w:tr>
      <w:tr>
        <w:trPr>
          <w:trHeight w:val="43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Pierre Chenu</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Pierre Chenu</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Tilman Bernhard Frank</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Dr. Tilman Bernhard Frank</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Soo Keong Koh</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Soo Keong Koh</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Donald A. Kubik, Ph.D.</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Vice Chairman of the Board and Chief</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Donald A. Kubik, Ph.D.</w:t>
            </w:r>
          </w:p>
        </w:tc>
        <w:tc>
          <w:tcPr>
            <w:tcW w:w="40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Technology Officer</w:t>
            </w:r>
          </w:p>
        </w:tc>
        <w:tc>
          <w:tcPr>
            <w:tcW w:w="2460" w:type="dxa"/>
            <w:vAlign w:val="bottom"/>
          </w:tcPr>
          <w:p>
            <w:pPr>
              <w:spacing w:after="0"/>
              <w:rPr>
                <w:sz w:val="19"/>
                <w:szCs w:val="19"/>
                <w:color w:val="auto"/>
              </w:rPr>
            </w:pPr>
          </w:p>
        </w:tc>
      </w:tr>
      <w:tr>
        <w:trPr>
          <w:trHeight w:val="4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Sunggyu Lee</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Dr. Sunggyu Lee</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/s/Mark Mayers</w:t>
            </w:r>
          </w:p>
        </w:tc>
        <w:tc>
          <w:tcPr>
            <w:tcW w:w="4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0"/>
              <w:spacing w:after="0"/>
              <w:rPr>
                <w:sz w:val="20"/>
                <w:szCs w:val="20"/>
                <w:color w:val="auto"/>
              </w:rPr>
            </w:pPr>
            <w:r>
              <w:rPr>
                <w:rFonts w:ascii="Arial" w:cs="Arial" w:eastAsia="Arial" w:hAnsi="Arial"/>
                <w:sz w:val="18"/>
                <w:szCs w:val="18"/>
                <w:color w:val="auto"/>
              </w:rPr>
              <w:t>November 21, 2008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Mark Mayers</w:t>
            </w:r>
          </w:p>
        </w:tc>
        <w:tc>
          <w:tcPr>
            <w:tcW w:w="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ectPr>
          <w:pgSz w:w="11900" w:h="16838" w:orient="portrait"/>
          <w:cols w:equalWidth="0" w:num="1">
            <w:col w:w="11420"/>
          </w:cols>
          <w:pgMar w:left="240" w:top="125"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auto"/>
              </w:rPr>
              <w:t>/s/ Dr. Ramani Narayan</w:t>
            </w:r>
          </w:p>
        </w:tc>
        <w:tc>
          <w:tcPr>
            <w:tcW w:w="1060" w:type="dxa"/>
            <w:vAlign w:val="bottom"/>
          </w:tcPr>
          <w:p>
            <w:pPr>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0"/>
                <w:szCs w:val="20"/>
                <w:color w:val="auto"/>
              </w:rPr>
            </w:pPr>
          </w:p>
        </w:tc>
        <w:tc>
          <w:tcPr>
            <w:tcW w:w="5640" w:type="dxa"/>
            <w:vAlign w:val="bottom"/>
            <w:gridSpan w:val="2"/>
          </w:tcPr>
          <w:p>
            <w:pPr>
              <w:ind w:left="3160"/>
              <w:spacing w:after="0"/>
              <w:rPr>
                <w:sz w:val="20"/>
                <w:szCs w:val="20"/>
                <w:color w:val="auto"/>
              </w:rPr>
            </w:pPr>
            <w:r>
              <w:rPr>
                <w:rFonts w:ascii="Arial" w:cs="Arial" w:eastAsia="Arial" w:hAnsi="Arial"/>
                <w:sz w:val="18"/>
                <w:szCs w:val="18"/>
                <w:color w:val="auto"/>
              </w:rPr>
              <w:t>November 21, 2008</w:t>
            </w:r>
          </w:p>
        </w:tc>
      </w:tr>
      <w:tr>
        <w:trPr>
          <w:trHeight w:val="224"/>
        </w:trPr>
        <w:tc>
          <w:tcPr>
            <w:tcW w:w="20" w:type="dxa"/>
            <w:vAlign w:val="bottom"/>
          </w:tcPr>
          <w:p>
            <w:pPr>
              <w:spacing w:after="0"/>
              <w:rPr>
                <w:sz w:val="19"/>
                <w:szCs w:val="19"/>
                <w:color w:val="auto"/>
              </w:rPr>
            </w:pPr>
          </w:p>
        </w:tc>
        <w:tc>
          <w:tcPr>
            <w:tcW w:w="40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Dr. Ramani Narayan</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/s/ Mark J. Stone</w:t>
            </w:r>
          </w:p>
        </w:tc>
        <w:tc>
          <w:tcPr>
            <w:tcW w:w="27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5640" w:type="dxa"/>
            <w:vAlign w:val="bottom"/>
            <w:gridSpan w:val="2"/>
          </w:tcPr>
          <w:p>
            <w:pPr>
              <w:ind w:left="3160"/>
              <w:spacing w:after="0"/>
              <w:rPr>
                <w:sz w:val="20"/>
                <w:szCs w:val="20"/>
                <w:color w:val="auto"/>
              </w:rPr>
            </w:pPr>
            <w:r>
              <w:rPr>
                <w:rFonts w:ascii="Arial" w:cs="Arial" w:eastAsia="Arial" w:hAnsi="Arial"/>
                <w:sz w:val="18"/>
                <w:szCs w:val="18"/>
                <w:color w:val="auto"/>
              </w:rPr>
              <w:t>November 21, 2008</w:t>
            </w:r>
          </w:p>
        </w:tc>
      </w:tr>
      <w:tr>
        <w:trPr>
          <w:trHeight w:val="224"/>
        </w:trPr>
        <w:tc>
          <w:tcPr>
            <w:tcW w:w="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Mark J. Stone</w:t>
            </w:r>
          </w:p>
        </w:tc>
        <w:tc>
          <w:tcPr>
            <w:tcW w:w="2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010101"/>
            </w:tcBorders>
            <w:gridSpan w:val="2"/>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rPr>
              <w:t>EXHIBIT INDEX TO ANNUAL REPORT ON FORM 10-K</w:t>
            </w: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6"/>
          </w:tcPr>
          <w:p>
            <w:pPr>
              <w:jc w:val="center"/>
              <w:ind w:right="1340"/>
              <w:spacing w:after="0"/>
              <w:rPr>
                <w:sz w:val="20"/>
                <w:szCs w:val="20"/>
                <w:color w:val="auto"/>
              </w:rPr>
            </w:pPr>
            <w:r>
              <w:rPr>
                <w:rFonts w:ascii="Arial" w:cs="Arial" w:eastAsia="Arial" w:hAnsi="Arial"/>
                <w:sz w:val="18"/>
                <w:szCs w:val="18"/>
                <w:b w:val="1"/>
                <w:bCs w:val="1"/>
                <w:color w:val="auto"/>
                <w:w w:val="98"/>
              </w:rPr>
              <w:t>FOR THE FISCAL YEAR ENDED AUGUST 31, 2008</w:t>
            </w:r>
          </w:p>
        </w:tc>
      </w:tr>
      <w:tr>
        <w:trPr>
          <w:trHeight w:val="365"/>
        </w:trPr>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Item No.</w:t>
            </w:r>
          </w:p>
        </w:tc>
        <w:tc>
          <w:tcPr>
            <w:tcW w:w="3160" w:type="dxa"/>
            <w:vAlign w:val="bottom"/>
            <w:gridSpan w:val="2"/>
          </w:tcPr>
          <w:p>
            <w:pPr>
              <w:ind w:left="1960"/>
              <w:spacing w:after="0"/>
              <w:rPr>
                <w:sz w:val="20"/>
                <w:szCs w:val="20"/>
                <w:color w:val="auto"/>
              </w:rPr>
            </w:pPr>
            <w:r>
              <w:rPr>
                <w:rFonts w:ascii="Arial" w:cs="Arial" w:eastAsia="Arial" w:hAnsi="Arial"/>
                <w:sz w:val="14"/>
                <w:szCs w:val="14"/>
                <w:b w:val="1"/>
                <w:bCs w:val="1"/>
                <w:color w:val="auto"/>
              </w:rPr>
              <w:t>Item</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Restated Certificate of Incorporation of Northern</w:t>
            </w:r>
          </w:p>
        </w:tc>
        <w:tc>
          <w:tcPr>
            <w:tcW w:w="3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3.1 to NTIC’s Annual Report 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Technologies International Corporation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1"/>
              </w:rPr>
              <w:t>Amended and Restated Bylaws of Northern Technologies</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3.1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International Corporation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8-K as filed with the Securities and Exchange Commission 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November 24, 2008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7"/>
              </w:rPr>
              <w:t>Northern Technologies International Corporation 2000</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10.4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Stock Incentive Plan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2000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5"/>
              </w:rPr>
              <w:t>Form of Incentive Stock Option Agreement for Northern</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10.5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Technologies International Corporation 2000 Stock</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2000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Form of Non-Qualified Stock Option Agreement for</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10.6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7"/>
              </w:rPr>
              <w:t>Northern Technologies International Corporation 2000</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2000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Stock Incentive Plan</w:t>
            </w: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7"/>
              </w:rPr>
              <w:t>Northern Technologies International Corporation 2007</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10.7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Stock Incentive Plan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5"/>
              </w:rPr>
              <w:t>Form of Incentive Stock Option Agreement for Northern</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10.8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Technologies International Corporation 2007 Stock</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Form of Non-Statutory Stock Option Agreement for</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10.9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7"/>
              </w:rPr>
              <w:t>Northern Technologies International Corporation 2007</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Stock Incentive Plan</w:t>
            </w: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Form of Restricted Stock Agreement for Northern</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10.10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Technologies International Corporation 2007 Stock</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106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32"/>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Northern Technologies International</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Incorporated by reference to Exhibit</w:t>
            </w: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3160" w:type="dxa"/>
            <w:vAlign w:val="bottom"/>
            <w:gridSpan w:val="2"/>
          </w:tcPr>
          <w:p>
            <w:pPr>
              <w:ind w:left="1960"/>
              <w:spacing w:after="0"/>
              <w:rPr>
                <w:sz w:val="20"/>
                <w:szCs w:val="20"/>
                <w:color w:val="auto"/>
              </w:rPr>
            </w:pPr>
            <w:r>
              <w:rPr>
                <w:rFonts w:ascii="Arial" w:cs="Arial" w:eastAsia="Arial" w:hAnsi="Arial"/>
                <w:sz w:val="14"/>
                <w:szCs w:val="14"/>
                <w:b w:val="1"/>
                <w:bCs w:val="1"/>
                <w:color w:val="auto"/>
              </w:rPr>
              <w:t>Item</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Corporation Employee Stock Purchase Plan</w:t>
            </w:r>
          </w:p>
        </w:tc>
        <w:tc>
          <w:tcPr>
            <w:tcW w:w="10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10.11 to NTIC’s Annual Report on Form 10-KSB for the fiscal year ended</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August 31, 2006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3"/>
              </w:rPr>
              <w:t>Consulting Agreement dated as of May 1, 2006 between</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9"/>
              </w:rPr>
              <w:t>Northern Technologies International Corporation and</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8-K as filed with the Securities and Exchange Commission on May 22,</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Emeritushnic Facilities Company, Inc.</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2006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7"/>
              </w:rPr>
              <w:t>Form of Indemnification Agreement between Northern</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4"/>
              </w:rPr>
              <w:t>Technologies International Corporation and its Directors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8-K as filed with the Securities and Exchange Commission 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and Officers</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November 24, 2008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w w:val="99"/>
              </w:rPr>
              <w:t>Description of Non-Employee Director Compensation</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Description of Executive Officer Compensation</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-9417685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-9417685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-2822575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-2822575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Note: Revolving Credit dated August 6,</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2004 by Northern Technologies International Corporation</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fiscal quarter ended May 31, 2005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payable to 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Note Addendum dated August 6, 2004</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10.2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between Northern Technologies International Corporation</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fiscal quarter ended May 31, 2005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Security Agreement dated August 6, 2004 between</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10.3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Northern Technologies International Corporation and</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fiscal quarter ended May 31, 2005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Modification and Extension of Promissory Note dated</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10.4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March 2, 2005 between Northern Technologies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fiscal quarter ended May 31, 2005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International Corporation and 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Promissory Note Modification Agreement dated</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10.18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January 30, 2006 between Northern Technologies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International Corporation and 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14"/>
                <w:szCs w:val="14"/>
                <w:b w:val="1"/>
                <w:bCs w:val="1"/>
                <w:color w:val="auto"/>
              </w:rPr>
              <w:t>Item</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10.18</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Promissory Note Modification Agreement dated</w:t>
            </w:r>
          </w:p>
        </w:tc>
        <w:tc>
          <w:tcPr>
            <w:tcW w:w="3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10.19 to NTIC’s Annual Report 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August 24, 2006 between Northern Technologies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2006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International Corporation and National City Bank</w:t>
            </w: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10.19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Note dated as of May 3, 2006 issued by</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10.6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Northern Technologies Holding Company, LLC to</w:t>
            </w:r>
          </w:p>
        </w:tc>
        <w:tc>
          <w:tcPr>
            <w:tcW w:w="300" w:type="dxa"/>
            <w:vAlign w:val="bottom"/>
          </w:tcPr>
          <w:p>
            <w:pPr>
              <w:spacing w:after="0"/>
              <w:rPr>
                <w:sz w:val="18"/>
                <w:szCs w:val="18"/>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Form 8-K as filed with the Securities and Exchange Commission on May 9,</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National City Bank</w:t>
            </w: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2006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Mortgage dated as of May 3, 2006 between Northern</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10.7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Technologies Holding Company, LLC and National City</w:t>
            </w:r>
          </w:p>
        </w:tc>
        <w:tc>
          <w:tcPr>
            <w:tcW w:w="300" w:type="dxa"/>
            <w:vAlign w:val="bottom"/>
          </w:tcPr>
          <w:p>
            <w:pPr>
              <w:spacing w:after="0"/>
              <w:rPr>
                <w:sz w:val="18"/>
                <w:szCs w:val="18"/>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Form 8-K as filed with the Securities and Exchange Commission on May 9,</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Bank</w:t>
            </w: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2006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Commercial Guaranty dated as of May 3, 2006 issued by</w:t>
            </w:r>
          </w:p>
        </w:tc>
        <w:tc>
          <w:tcPr>
            <w:tcW w:w="300" w:type="dxa"/>
            <w:vAlign w:val="bottom"/>
          </w:tcPr>
          <w:p>
            <w:pPr>
              <w:spacing w:after="0"/>
              <w:rPr>
                <w:sz w:val="24"/>
                <w:szCs w:val="24"/>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Incorporated by reference to Exhibit 10.8 to NTIC’s Current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Northern Technologies International Corporation, as</w:t>
            </w:r>
          </w:p>
        </w:tc>
        <w:tc>
          <w:tcPr>
            <w:tcW w:w="300" w:type="dxa"/>
            <w:vAlign w:val="bottom"/>
          </w:tcPr>
          <w:p>
            <w:pPr>
              <w:spacing w:after="0"/>
              <w:rPr>
                <w:sz w:val="18"/>
                <w:szCs w:val="18"/>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Form 8-K as filed with the Securities and Exchange Commission on May 9,</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Guarantor</w:t>
            </w:r>
          </w:p>
        </w:tc>
        <w:tc>
          <w:tcPr>
            <w:tcW w:w="300" w:type="dxa"/>
            <w:vAlign w:val="bottom"/>
          </w:tcPr>
          <w:p>
            <w:pPr>
              <w:spacing w:after="0"/>
              <w:rPr>
                <w:sz w:val="20"/>
                <w:szCs w:val="20"/>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2006 (File No. 001-11038)</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Promissory Note Modification Agreement dated</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January 31, 2008 between Northern Technologies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quarter ended February 29, 2008 (File No. 001-11038)</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International Corporation and National City Bank</w:t>
            </w: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Promissory Note Modification Agreement dated</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10.2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January 31, 2008 between Northern Technologies</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quarter ended February 29, 2008 (File No. 001-11038)</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International Corporation and National City Bank</w:t>
            </w: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Promissory Note Modification Agreement dated April 10,</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10.3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2008 between Northern Technologies International</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quarter ended February 29, 2008 (File No. 001-11038)</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Corporation and National City Bank</w:t>
            </w: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10.25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Promissory Note Modification Agreement dated April 10,</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10.1 to NTIC’s Quarterly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2008 between Northern Technologies International</w:t>
            </w: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10-QSB for the quarter ended May 31, 2008 (File No. 001-11038)</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Corporation and National City Bank</w:t>
            </w: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Code of Ethics</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Incorporated by reference to Exhibit 14.1 to NTIC’s Annual Report on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 10-KSB for the fiscal year ended August 31, 2004 (File No. 001-</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11038)</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14"/>
                <w:szCs w:val="14"/>
                <w:b w:val="1"/>
                <w:bCs w:val="1"/>
                <w:color w:val="auto"/>
              </w:rPr>
              <w:t>Item</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Method of Filing</w:t>
            </w:r>
          </w:p>
        </w:tc>
      </w:tr>
      <w:tr>
        <w:trPr>
          <w:trHeight w:val="224"/>
        </w:trPr>
        <w:tc>
          <w:tcPr>
            <w:tcW w:w="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Subsidiaries of the Registrant</w:t>
            </w:r>
          </w:p>
        </w:tc>
        <w:tc>
          <w:tcPr>
            <w:tcW w:w="3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9"/>
                <w:szCs w:val="19"/>
                <w:color w:val="auto"/>
              </w:rPr>
            </w:pP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Consent of Virchow, Krause &amp; Company, LLP</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418"/>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300" w:type="dxa"/>
            <w:vAlign w:val="bottom"/>
          </w:tcPr>
          <w:p>
            <w:pPr>
              <w:spacing w:after="0"/>
              <w:rPr>
                <w:sz w:val="24"/>
                <w:szCs w:val="24"/>
                <w:color w:val="auto"/>
              </w:rPr>
            </w:pPr>
          </w:p>
        </w:tc>
        <w:tc>
          <w:tcPr>
            <w:tcW w:w="56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Filed herewith</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Pursuant to SEC Rule 13a-14(a), as adopted pursuant to</w:t>
            </w: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-7359650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-7359650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-1588135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31.2</w:t>
            </w:r>
          </w:p>
        </w:tc>
        <w:tc>
          <w:tcPr>
            <w:tcW w:w="4480" w:type="dxa"/>
            <w:vAlign w:val="bottom"/>
          </w:tcPr>
          <w:p>
            <w:pPr>
              <w:ind w:left="320"/>
              <w:spacing w:after="0"/>
              <w:rPr>
                <w:sz w:val="20"/>
                <w:szCs w:val="20"/>
                <w:color w:val="auto"/>
              </w:rPr>
            </w:pPr>
            <w:r>
              <w:rPr>
                <w:rFonts w:ascii="Arial" w:cs="Arial" w:eastAsia="Arial" w:hAnsi="Arial"/>
                <w:sz w:val="18"/>
                <w:szCs w:val="18"/>
                <w:color w:val="auto"/>
                <w:w w:val="94"/>
              </w:rPr>
              <w:t>Certification of Chief Financial Officer Pursuant to SEC</w:t>
            </w:r>
          </w:p>
        </w:tc>
      </w:tr>
      <w:tr>
        <w:trPr>
          <w:trHeight w:val="216"/>
        </w:trPr>
        <w:tc>
          <w:tcPr>
            <w:tcW w:w="6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w w:val="89"/>
              </w:rPr>
              <w:t>Rule 13a-14(a), as adopted pursuant to Section 302 of the</w:t>
            </w:r>
          </w:p>
        </w:tc>
      </w:tr>
      <w:tr>
        <w:trPr>
          <w:trHeight w:val="230"/>
        </w:trPr>
        <w:tc>
          <w:tcPr>
            <w:tcW w:w="660" w:type="dxa"/>
            <w:vAlign w:val="bottom"/>
          </w:tcPr>
          <w:p>
            <w:pPr>
              <w:spacing w:after="0"/>
              <w:rPr>
                <w:sz w:val="20"/>
                <w:szCs w:val="20"/>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Sarbanes-Oxley Act of 2002</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32.1</w:t>
            </w:r>
          </w:p>
        </w:tc>
        <w:tc>
          <w:tcPr>
            <w:tcW w:w="4480" w:type="dxa"/>
            <w:vAlign w:val="bottom"/>
          </w:tcPr>
          <w:p>
            <w:pPr>
              <w:ind w:left="320"/>
              <w:spacing w:after="0"/>
              <w:rPr>
                <w:sz w:val="20"/>
                <w:szCs w:val="20"/>
                <w:color w:val="auto"/>
              </w:rPr>
            </w:pPr>
            <w:r>
              <w:rPr>
                <w:rFonts w:ascii="Arial" w:cs="Arial" w:eastAsia="Arial" w:hAnsi="Arial"/>
                <w:sz w:val="18"/>
                <w:szCs w:val="18"/>
                <w:color w:val="auto"/>
                <w:w w:val="98"/>
              </w:rPr>
              <w:t>Certification of President and Chief Executive Officer</w:t>
            </w:r>
          </w:p>
        </w:tc>
      </w:tr>
      <w:tr>
        <w:trPr>
          <w:trHeight w:val="216"/>
        </w:trPr>
        <w:tc>
          <w:tcPr>
            <w:tcW w:w="6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w w:val="97"/>
              </w:rPr>
              <w:t>Pursuant to Rule 18 U.S.C. Section 1350, as adopted</w:t>
            </w:r>
          </w:p>
        </w:tc>
      </w:tr>
      <w:tr>
        <w:trPr>
          <w:trHeight w:val="216"/>
        </w:trPr>
        <w:tc>
          <w:tcPr>
            <w:tcW w:w="6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w w:val="97"/>
              </w:rPr>
              <w:t>pursuant to Section 906 of the Sarbanes-Oxley Act of</w:t>
            </w:r>
          </w:p>
        </w:tc>
      </w:tr>
      <w:tr>
        <w:trPr>
          <w:trHeight w:val="230"/>
        </w:trPr>
        <w:tc>
          <w:tcPr>
            <w:tcW w:w="660" w:type="dxa"/>
            <w:vAlign w:val="bottom"/>
          </w:tcPr>
          <w:p>
            <w:pPr>
              <w:spacing w:after="0"/>
              <w:rPr>
                <w:sz w:val="20"/>
                <w:szCs w:val="20"/>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2002</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32.2</w:t>
            </w:r>
          </w:p>
        </w:tc>
        <w:tc>
          <w:tcPr>
            <w:tcW w:w="44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w:t>
            </w:r>
          </w:p>
        </w:tc>
      </w:tr>
      <w:tr>
        <w:trPr>
          <w:trHeight w:val="216"/>
        </w:trPr>
        <w:tc>
          <w:tcPr>
            <w:tcW w:w="66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w w:val="97"/>
              </w:rPr>
              <w:t>Rule 18 U.S.C. Section 1350, as adopted pursuant to</w:t>
            </w:r>
          </w:p>
        </w:tc>
      </w:tr>
      <w:tr>
        <w:trPr>
          <w:trHeight w:val="230"/>
        </w:trPr>
        <w:tc>
          <w:tcPr>
            <w:tcW w:w="660" w:type="dxa"/>
            <w:vAlign w:val="bottom"/>
          </w:tcPr>
          <w:p>
            <w:pPr>
              <w:spacing w:after="0"/>
              <w:rPr>
                <w:sz w:val="20"/>
                <w:szCs w:val="20"/>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2"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ectPr>
          <w:pgSz w:w="11900" w:h="16838" w:orient="portrait"/>
          <w:cols w:equalWidth="0" w:num="2">
            <w:col w:w="6880" w:space="720"/>
            <w:col w:w="2299"/>
          </w:cols>
          <w:pgMar w:left="560" w:top="34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NTIC’s non-employee directors currently consist of Pierre Chenu, Tilman B. Frank, M.D. Soo Keong Koh, Ph.D., Sunggyu Lee, Ph.D., Mark M. Mayers, Ramani Narayan, Ph.D. and Mark J. Stone. We use a combination of cash and long-term equity-based incentive compensation in the form of annual stock option grants to attract and retain qualified candidates to serve on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Each person who is a non-employee director receives an annual retainer of $10,000 for services rendered as a director of NTIC. The annual retainer is paid quarterly. NTIC’s Chairman of the Board receives an additional annual retainer of $25,000, the Chair of the Audit Committee receives an additional annual retainer of $5,000 and other members of the Audit Committee received an additional annual retainer of $4,000. Each of our non-employee directors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and Donald A. Kubik, Ph.D.) does not receive any retainer or Board or Committee meeting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Each of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on a cumulative basis, with respect to one-third of the shares covered by such option on each one-year anniversary of the date of its grant. The exercise price of such option is equal to the fair market value of a share of NTIC common stock on the date of grant. All such options are granted under the Northern Technologies International Corporation 2007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expenses incurred in performing their Board functions.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 paid consulting fees to Bioplastic Polymers LLC which is owned by Dr. Ramani Narayan in the aggregate amount of $100,000 and royalty fees in an aggregate amount of $1,323 during the fiscal year ended August 31, 2008.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ectPr>
          <w:pgSz w:w="11900" w:h="16838" w:orient="portrait"/>
          <w:cols w:equalWidth="0" w:num="1">
            <w:col w:w="11420"/>
          </w:cols>
          <w:pgMar w:left="240" w:top="121"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left="10400"/>
        <w:spacing w:after="0"/>
        <w:rPr>
          <w:sz w:val="20"/>
          <w:szCs w:val="20"/>
          <w:color w:val="auto"/>
        </w:rPr>
      </w:pPr>
      <w:r>
        <w:rPr>
          <w:rFonts w:ascii="Arial" w:cs="Arial" w:eastAsia="Arial" w:hAnsi="Arial"/>
          <w:sz w:val="16"/>
          <w:szCs w:val="16"/>
          <w:b w:val="1"/>
          <w:bCs w:val="1"/>
          <w:color w:val="auto"/>
        </w:rPr>
        <w:t>Exhibit 10.12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is a description of oral compensation arrangements between Northern Technologies International Corporation and each of the executive officers of NTIC as of August 31,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Name of</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Base</w:t>
            </w:r>
          </w:p>
        </w:tc>
        <w:tc>
          <w:tcPr>
            <w:tcW w:w="2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Bonus</w:t>
            </w: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Stock</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Executive</w:t>
            </w:r>
          </w:p>
        </w:tc>
        <w:tc>
          <w:tcPr>
            <w:tcW w:w="300" w:type="dxa"/>
            <w:vAlign w:val="bottom"/>
          </w:tcPr>
          <w:p>
            <w:pPr>
              <w:spacing w:after="0"/>
              <w:rPr>
                <w:sz w:val="12"/>
                <w:szCs w:val="12"/>
                <w:color w:val="auto"/>
              </w:rPr>
            </w:pPr>
          </w:p>
        </w:tc>
        <w:tc>
          <w:tcPr>
            <w:tcW w:w="20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Title</w:t>
            </w:r>
          </w:p>
        </w:tc>
        <w:tc>
          <w:tcPr>
            <w:tcW w:w="168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50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Officer</w:t>
            </w:r>
          </w:p>
        </w:tc>
        <w:tc>
          <w:tcPr>
            <w:tcW w:w="3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Salary</w:t>
            </w:r>
          </w:p>
        </w:tc>
        <w:tc>
          <w:tcPr>
            <w:tcW w:w="2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Arrangements</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Options</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G. Patrick</w:t>
            </w:r>
          </w:p>
        </w:tc>
        <w:tc>
          <w:tcPr>
            <w:tcW w:w="3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President and Chief</w:t>
            </w: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$221,000 per year.</w:t>
            </w:r>
          </w:p>
        </w:tc>
        <w:tc>
          <w:tcPr>
            <w:tcW w:w="30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See footnote (2) below</w:t>
            </w:r>
          </w:p>
        </w:tc>
        <w:tc>
          <w:tcPr>
            <w:tcW w:w="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0"/>
              </w:rPr>
              <w:t>Stock options to</w:t>
            </w:r>
          </w:p>
        </w:tc>
        <w:tc>
          <w:tcPr>
            <w:tcW w:w="30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Under NTIC’s 401(k) Plan,</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Lynch</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See footnote</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shares</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participants, including executive</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(1) below</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NTIC</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officers, may voluntarily request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that NTIC reduce pre-tax</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are granted</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by up to 15%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time to</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(subject to certain special</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in the sole</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limitations) and contribute such</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discretion of the</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to a trust. NTIC</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NTIC Board of</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contributed an amount equal to</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 of the amount that each</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participant contributed under this</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418"/>
        </w:trPr>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Executive officers receive other</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benefits received by other NTIC</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including health,</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dental and life insurance benefits.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Donald Kubik,</w:t>
            </w:r>
          </w:p>
        </w:tc>
        <w:tc>
          <w:tcPr>
            <w:tcW w:w="3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Vice Chairman and</w:t>
            </w:r>
          </w:p>
        </w:tc>
        <w:tc>
          <w:tcPr>
            <w:tcW w:w="16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88"/>
              </w:rPr>
              <w:t>$175,000 per year.</w:t>
            </w: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See footnote (2) below</w:t>
            </w:r>
          </w:p>
        </w:tc>
        <w:tc>
          <w:tcPr>
            <w:tcW w:w="1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See above</w:t>
            </w:r>
          </w:p>
        </w:tc>
        <w:tc>
          <w:tcPr>
            <w:tcW w:w="2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Ph.D.</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Technology</w:t>
            </w: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See footnote</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(1) below</w:t>
            </w:r>
          </w:p>
        </w:tc>
        <w:tc>
          <w:tcPr>
            <w:tcW w:w="2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Matthew C.</w:t>
            </w:r>
          </w:p>
        </w:tc>
        <w:tc>
          <w:tcPr>
            <w:tcW w:w="3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Chief Financial</w:t>
            </w:r>
          </w:p>
        </w:tc>
        <w:tc>
          <w:tcPr>
            <w:tcW w:w="16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88"/>
              </w:rPr>
              <w:t>$163,000 per year.</w:t>
            </w: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See footnote (2) below</w:t>
            </w:r>
          </w:p>
        </w:tc>
        <w:tc>
          <w:tcPr>
            <w:tcW w:w="1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See above</w:t>
            </w:r>
          </w:p>
        </w:tc>
        <w:tc>
          <w:tcPr>
            <w:tcW w:w="2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Wolsfeld</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 and Secretary</w:t>
            </w: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See footnote</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(1) below</w:t>
            </w:r>
          </w:p>
        </w:tc>
        <w:tc>
          <w:tcPr>
            <w:tcW w:w="2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1020" w:hanging="520"/>
        <w:spacing w:after="0" w:line="308"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Annual base salaries for NTIC’s executive officers are determined each year by NTIC’s Board of Directors, upon recommendation of the Compensation Committee of the Board. The salaries listed in the table are the base salaries for fiscal 2009.</w:t>
      </w:r>
    </w:p>
    <w:p>
      <w:pPr>
        <w:spacing w:after="0" w:line="146" w:lineRule="exact"/>
        <w:rPr>
          <w:rFonts w:ascii="Arial" w:cs="Arial" w:eastAsia="Arial" w:hAnsi="Arial"/>
          <w:sz w:val="17"/>
          <w:szCs w:val="17"/>
          <w:color w:val="auto"/>
        </w:rPr>
      </w:pPr>
    </w:p>
    <w:p>
      <w:pPr>
        <w:ind w:left="540" w:right="20" w:hanging="520"/>
        <w:spacing w:after="0" w:line="255"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performance bonuses for NTIC’s executive officers are determined each year by NTIC’s Board of Directors, upon recommendation of the Compensation Committee of the Board. For fiscal 2009 as in past years, the total amount available under the bonus plan will be up to 25% of NTIC’s earnings before interest, taxes and other income (EBITOI) and will be $0 if EBITOI, as adjusted to take into account amounts to be paid under the bonus plan, fall below 70% of target EBITOI. The payment of bonuses under the plan are purely discretionary and will be paid to executive officer participants in both cash and stock, the exact amount and percentages of which will be determined by the Board of Directors, upon recommendation of the Compensation Committee.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State or Other</w:t>
            </w: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Names Under Which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2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2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Ownership Interest</w:t>
            </w: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Subsidiary Does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Organization</w:t>
            </w:r>
          </w:p>
        </w:tc>
        <w:tc>
          <w:tcPr>
            <w:tcW w:w="2020" w:type="dxa"/>
            <w:vAlign w:val="bottom"/>
            <w:gridSpan w:val="2"/>
            <w:vMerge w:val="continue"/>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NTI Facilities, Inc.</w:t>
            </w:r>
          </w:p>
        </w:tc>
        <w:tc>
          <w:tcPr>
            <w:tcW w:w="2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Ohio</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React-NTI LLC</w:t>
            </w:r>
          </w:p>
        </w:tc>
        <w:tc>
          <w:tcPr>
            <w:tcW w:w="2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Delaware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24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Northern Technologies</w:t>
            </w:r>
          </w:p>
        </w:tc>
        <w:tc>
          <w:tcPr>
            <w:tcW w:w="29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Delaware</w:t>
            </w:r>
          </w:p>
        </w:tc>
        <w:tc>
          <w:tcPr>
            <w:tcW w:w="1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240" w:type="dxa"/>
            <w:vAlign w:val="bottom"/>
            <w:shd w:val="clear" w:color="auto" w:fill="CCEEFF"/>
          </w:tcPr>
          <w:p>
            <w:pPr>
              <w:spacing w:after="0"/>
              <w:rPr>
                <w:sz w:val="17"/>
                <w:szCs w:val="17"/>
                <w:color w:val="auto"/>
              </w:rPr>
            </w:pPr>
          </w:p>
        </w:tc>
        <w:tc>
          <w:tcPr>
            <w:tcW w:w="2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Holding Company, LLC</w:t>
            </w:r>
          </w:p>
        </w:tc>
        <w:tc>
          <w:tcPr>
            <w:tcW w:w="2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jc w:val="right"/>
              <w:ind w:right="819"/>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333-32596, 333-140244 and 333-140245) of Northern Technologies International Corporation and Subsidiaries of our report dated November 25, 2008, which appears on page 76 of this annual report on Form 10-K for the year ended August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Virchow, Krause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80" w:right="20" w:firstLine="1"/>
        <w:spacing w:after="0" w:line="264" w:lineRule="auto"/>
        <w:tabs>
          <w:tab w:leader="none" w:pos="1366"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80" w:right="220" w:firstLine="1"/>
        <w:spacing w:after="0" w:line="264" w:lineRule="auto"/>
        <w:tabs>
          <w:tab w:leader="none" w:pos="1362"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80" w:right="340" w:firstLine="1"/>
        <w:spacing w:after="0" w:line="342" w:lineRule="auto"/>
        <w:tabs>
          <w:tab w:leader="none" w:pos="1366"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120" w:firstLine="1"/>
        <w:spacing w:after="0" w:line="264" w:lineRule="auto"/>
        <w:tabs>
          <w:tab w:leader="none" w:pos="1362"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660" w:right="540" w:hanging="4"/>
        <w:spacing w:after="0" w:line="308" w:lineRule="auto"/>
        <w:tabs>
          <w:tab w:leader="none" w:pos="131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20" w:hanging="4"/>
        <w:spacing w:after="0" w:line="277" w:lineRule="auto"/>
        <w:tabs>
          <w:tab w:leader="none" w:pos="13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117475</wp:posOffset>
            </wp:positionV>
            <wp:extent cx="1732280" cy="325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32280" cy="3257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25, 2008</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700" w:hanging="69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25" w:lineRule="exact"/>
        <w:rPr>
          <w:rFonts w:ascii="Arial" w:cs="Arial" w:eastAsia="Arial" w:hAnsi="Arial"/>
          <w:sz w:val="18"/>
          <w:szCs w:val="18"/>
          <w:color w:val="auto"/>
        </w:rPr>
      </w:pPr>
    </w:p>
    <w:p>
      <w:pPr>
        <w:jc w:val="both"/>
        <w:ind w:left="680" w:right="300" w:hanging="672"/>
        <w:spacing w:after="0" w:line="264"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80" w:right="260" w:hanging="672"/>
        <w:spacing w:after="0" w:line="308"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320" w:hanging="652"/>
        <w:spacing w:after="0" w:line="264" w:lineRule="auto"/>
        <w:tabs>
          <w:tab w:leader="none" w:pos="6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120" w:hanging="4"/>
        <w:spacing w:after="0" w:line="264" w:lineRule="auto"/>
        <w:tabs>
          <w:tab w:leader="none" w:pos="13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right="280" w:hanging="4"/>
        <w:spacing w:after="0" w:line="264" w:lineRule="auto"/>
        <w:tabs>
          <w:tab w:leader="none" w:pos="13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440" w:hanging="4"/>
        <w:spacing w:after="0" w:line="342" w:lineRule="auto"/>
        <w:tabs>
          <w:tab w:leader="none" w:pos="131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hanging="4"/>
        <w:spacing w:after="0" w:line="264" w:lineRule="auto"/>
        <w:tabs>
          <w:tab w:leader="none" w:pos="13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60" w:hanging="652"/>
        <w:spacing w:after="0" w:line="308" w:lineRule="auto"/>
        <w:tabs>
          <w:tab w:leader="none" w:pos="6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660" w:right="580" w:hanging="4"/>
        <w:spacing w:after="0" w:line="308" w:lineRule="auto"/>
        <w:tabs>
          <w:tab w:leader="none" w:pos="13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hanging="4"/>
        <w:spacing w:after="0" w:line="277" w:lineRule="auto"/>
        <w:tabs>
          <w:tab w:leader="none" w:pos="13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117475</wp:posOffset>
            </wp:positionV>
            <wp:extent cx="3662045" cy="368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620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25, 2008</w:t>
            </w:r>
          </w:p>
        </w:tc>
        <w:tc>
          <w:tcPr>
            <w:tcW w:w="7660" w:type="dxa"/>
            <w:vAlign w:val="bottom"/>
          </w:tcPr>
          <w:p>
            <w:pPr>
              <w:ind w:left="1860"/>
              <w:spacing w:after="0"/>
              <w:rPr>
                <w:sz w:val="20"/>
                <w:szCs w:val="20"/>
                <w:color w:val="auto"/>
              </w:rPr>
            </w:pPr>
            <w:r>
              <w:rPr>
                <w:rFonts w:ascii="Arial" w:cs="Arial" w:eastAsia="Arial" w:hAnsi="Arial"/>
                <w:sz w:val="18"/>
                <w:szCs w:val="18"/>
                <w:color w:val="auto"/>
              </w:rPr>
              <w:t>Matthew C. Wolsfeld, CPA</w:t>
            </w:r>
          </w:p>
        </w:tc>
      </w:tr>
      <w:tr>
        <w:trPr>
          <w:trHeight w:val="230"/>
        </w:trPr>
        <w:tc>
          <w:tcPr>
            <w:tcW w:w="3800" w:type="dxa"/>
            <w:vAlign w:val="bottom"/>
          </w:tcPr>
          <w:p>
            <w:pPr>
              <w:spacing w:after="0"/>
              <w:rPr>
                <w:sz w:val="20"/>
                <w:szCs w:val="20"/>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Chief Financial Officer and Corporate Secretary</w:t>
            </w: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1</w:t>
            </w:r>
          </w:p>
        </w:tc>
      </w:tr>
      <w:tr>
        <w:trPr>
          <w:trHeight w:val="132"/>
        </w:trPr>
        <w:tc>
          <w:tcPr>
            <w:tcW w:w="3800" w:type="dxa"/>
            <w:vAlign w:val="bottom"/>
            <w:tcBorders>
              <w:bottom w:val="single" w:sz="8" w:color="010101"/>
            </w:tcBorders>
          </w:tcPr>
          <w:p>
            <w:pPr>
              <w:spacing w:after="0"/>
              <w:rPr>
                <w:sz w:val="11"/>
                <w:szCs w:val="11"/>
                <w:color w:val="auto"/>
              </w:rPr>
            </w:pPr>
          </w:p>
        </w:tc>
        <w:tc>
          <w:tcPr>
            <w:tcW w:w="7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2008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5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117475</wp:posOffset>
            </wp:positionV>
            <wp:extent cx="1732280" cy="420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-130175</wp:posOffset>
            </wp:positionV>
            <wp:extent cx="36531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2008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5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117475</wp:posOffset>
            </wp:positionV>
            <wp:extent cx="3636010" cy="5918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360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Roman"/>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1."/>
      <w:numFmt w:val="decimal"/>
      <w:start w:val="6"/>
    </w:lvl>
  </w:abstractNum>
  <w:abstractNum w:abstractNumId="18">
    <w:nsid w:val="8138641"/>
    <w:multiLevelType w:val="hybridMultilevel"/>
    <w:lvl w:ilvl="0">
      <w:lvlJc w:val="left"/>
      <w:lvlText w:val="%1."/>
      <w:numFmt w:val="decimal"/>
      <w:start w:val="7"/>
    </w:lvl>
  </w:abstractNum>
  <w:abstractNum w:abstractNumId="19">
    <w:nsid w:val="1E7FF521"/>
    <w:multiLevelType w:val="hybridMultilevel"/>
    <w:lvl w:ilvl="0">
      <w:lvlJc w:val="left"/>
      <w:lvlText w:val="%1."/>
      <w:numFmt w:val="decimal"/>
      <w:start w:val="8"/>
    </w:lvl>
  </w:abstractNum>
  <w:abstractNum w:abstractNumId="20">
    <w:nsid w:val="7C3DBD3D"/>
    <w:multiLevelType w:val="hybridMultilevel"/>
    <w:lvl w:ilvl="0">
      <w:lvlJc w:val="left"/>
      <w:lvlText w:val="%1."/>
      <w:numFmt w:val="decimal"/>
      <w:start w:val="9"/>
    </w:lvl>
  </w:abstractNum>
  <w:abstractNum w:abstractNumId="21">
    <w:nsid w:val="737B8DDC"/>
    <w:multiLevelType w:val="hybridMultilevel"/>
    <w:lvl w:ilvl="0">
      <w:lvlJc w:val="left"/>
      <w:lvlText w:val="%1."/>
      <w:numFmt w:val="decimal"/>
      <w:start w:val="10"/>
    </w:lvl>
  </w:abstractNum>
  <w:abstractNum w:abstractNumId="22">
    <w:nsid w:val="6CEAF087"/>
    <w:multiLevelType w:val="hybridMultilevel"/>
    <w:lvl w:ilvl="0">
      <w:lvlJc w:val="left"/>
      <w:lvlText w:val="%1."/>
      <w:numFmt w:val="decimal"/>
      <w:start w:val="12"/>
    </w:lvl>
  </w:abstractNum>
  <w:abstractNum w:abstractNumId="23">
    <w:nsid w:val="22221A70"/>
    <w:multiLevelType w:val="hybridMultilevel"/>
    <w:lvl w:ilvl="0">
      <w:lvlJc w:val="left"/>
      <w:lvlText w:val="%1."/>
      <w:numFmt w:val="decimal"/>
      <w:start w:val="13"/>
    </w:lvl>
  </w:abstractNum>
  <w:abstractNum w:abstractNumId="24">
    <w:nsid w:val="4516DDE9"/>
    <w:multiLevelType w:val="hybridMultilevel"/>
    <w:lvl w:ilvl="0">
      <w:lvlJc w:val="left"/>
      <w:lvlText w:val="%1."/>
      <w:numFmt w:val="decimal"/>
      <w:start w:val="15"/>
    </w:lvl>
  </w:abstractNum>
  <w:abstractNum w:abstractNumId="25">
    <w:nsid w:val="3006C83E"/>
    <w:multiLevelType w:val="hybridMultilevel"/>
    <w:lvl w:ilvl="0">
      <w:lvlJc w:val="left"/>
      <w:lvlText w:val="%1."/>
      <w:numFmt w:val="decimal"/>
      <w:start w:val="16"/>
    </w:lvl>
  </w:abstractNum>
  <w:abstractNum w:abstractNumId="26">
    <w:nsid w:val="614FD4A1"/>
    <w:multiLevelType w:val="hybridMultilevel"/>
    <w:lvl w:ilvl="0">
      <w:lvlJc w:val="left"/>
      <w:lvlText w:val="%1."/>
      <w:numFmt w:val="decimal"/>
      <w:start w:val="17"/>
    </w:lvl>
  </w:abstractNum>
  <w:abstractNum w:abstractNumId="27">
    <w:nsid w:val="419AC241"/>
    <w:multiLevelType w:val="hybridMultilevel"/>
    <w:lvl w:ilvl="0">
      <w:lvlJc w:val="left"/>
      <w:lvlText w:val="%1."/>
      <w:numFmt w:val="decimal"/>
      <w:start w:val="18"/>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9"/>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upperLetter"/>
      <w:start w:val="1"/>
    </w:lvl>
  </w:abstractNum>
  <w:abstractNum w:abstractNumId="35">
    <w:nsid w:val="2463B9EA"/>
    <w:multiLevelType w:val="hybridMultilevel"/>
    <w:lvl w:ilvl="0">
      <w:lvlJc w:val="left"/>
      <w:lvlText w:val="%1."/>
      <w:numFmt w:val="upperLetter"/>
      <w:start w:val="2"/>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2019-12-13T19:51:15Z</dcterms:created>
  <dcterms:modified xsi:type="dcterms:W3CDTF">2019-12-13T19:51:15Z</dcterms:modified>
</cp:coreProperties>
</file>