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 w:lineRule="exact"/>
        <w:rPr>
          <w:sz w:val="24"/>
          <w:szCs w:val="24"/>
          <w:color w:val="auto"/>
        </w:rPr>
      </w:pPr>
    </w:p>
    <w:p>
      <w:pPr>
        <w:ind w:left="3760" w:right="1960" w:hanging="3752"/>
        <w:spacing w:after="0" w:line="476" w:lineRule="auto"/>
        <w:tabs>
          <w:tab w:leader="none" w:pos="30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November 30, 2019</w:t>
      </w:r>
    </w:p>
    <w:p>
      <w:pPr>
        <w:spacing w:after="0" w:line="30" w:lineRule="exact"/>
        <w:rPr>
          <w:sz w:val="24"/>
          <w:szCs w:val="24"/>
          <w:color w:val="auto"/>
        </w:rPr>
      </w:pPr>
    </w:p>
    <w:p>
      <w:pPr>
        <w:ind w:left="2980" w:right="1960" w:hanging="2972"/>
        <w:spacing w:after="0" w:line="501" w:lineRule="auto"/>
        <w:tabs>
          <w:tab w:leader="none" w:pos="30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________________ to __________________</w:t>
      </w:r>
    </w:p>
    <w:p>
      <w:pPr>
        <w:jc w:val="center"/>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440" w:gutter="0" w:footer="0" w:header="0"/>
        </w:sectPr>
      </w:pPr>
    </w:p>
    <w:p>
      <w:pPr>
        <w:spacing w:after="0" w:line="20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780" w:space="720"/>
            <w:col w:w="3920"/>
          </w:cols>
          <w:pgMar w:left="240" w:top="544"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$0.02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NTIC</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2" w:lineRule="exact"/>
        <w:rPr>
          <w:sz w:val="24"/>
          <w:szCs w:val="24"/>
          <w:color w:val="auto"/>
        </w:rPr>
      </w:pPr>
    </w:p>
    <w:p>
      <w:pPr>
        <w:ind w:right="1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44" w:right="239" w:bottom="1440" w:gutter="0" w:footer="0" w:header="0"/>
          <w:type w:val="continuous"/>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060" w:space="720"/>
            <w:col w:w="3640"/>
          </w:cols>
          <w:pgMar w:left="240" w:top="544" w:right="239" w:bottom="1440" w:gutter="0" w:footer="0" w:header="0"/>
          <w:type w:val="continuous"/>
        </w:sectPr>
      </w:pPr>
    </w:p>
    <w:p>
      <w:pPr>
        <w:spacing w:after="0" w:line="32"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January 6, 2020, there were 9,097,236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30,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960" w:type="dxa"/>
            <w:vAlign w:val="bottom"/>
            <w:gridSpan w:val="9"/>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900" w:type="dxa"/>
            <w:vAlign w:val="bottom"/>
            <w:gridSpan w:val="5"/>
          </w:tcPr>
          <w:p>
            <w:pPr>
              <w:spacing w:after="0"/>
              <w:rPr>
                <w:sz w:val="20"/>
                <w:szCs w:val="20"/>
                <w:color w:val="auto"/>
              </w:rPr>
            </w:pPr>
            <w:r>
              <w:rPr>
                <w:rFonts w:ascii="Arial" w:cs="Arial" w:eastAsia="Arial" w:hAnsi="Arial"/>
                <w:sz w:val="18"/>
                <w:szCs w:val="18"/>
                <w:b w:val="1"/>
                <w:bCs w:val="1"/>
                <w:color w:val="auto"/>
                <w:w w:val="88"/>
              </w:rPr>
              <w:t>Description</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rPr>
              <w:t>Page</w:t>
            </w:r>
          </w:p>
        </w:tc>
      </w:tr>
      <w:tr>
        <w:trPr>
          <w:trHeight w:val="426"/>
        </w:trPr>
        <w:tc>
          <w:tcPr>
            <w:tcW w:w="640" w:type="dxa"/>
            <w:vAlign w:val="bottom"/>
            <w:tcBorders>
              <w:top w:val="single" w:sz="8" w:color="auto"/>
            </w:tcBorders>
            <w:gridSpan w:val="3"/>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260" w:type="dxa"/>
            <w:vAlign w:val="bottom"/>
            <w:tcBorders>
              <w:top w:val="single" w:sz="8" w:color="auto"/>
            </w:tcBorders>
            <w:gridSpan w:val="2"/>
          </w:tcPr>
          <w:p>
            <w:pPr>
              <w:spacing w:after="0"/>
              <w:rPr>
                <w:sz w:val="24"/>
                <w:szCs w:val="24"/>
                <w:color w:val="auto"/>
              </w:rPr>
            </w:pPr>
          </w:p>
        </w:tc>
        <w:tc>
          <w:tcPr>
            <w:tcW w:w="260" w:type="dxa"/>
            <w:vAlign w:val="bottom"/>
          </w:tcPr>
          <w:p>
            <w:pPr>
              <w:spacing w:after="0"/>
              <w:rPr>
                <w:sz w:val="24"/>
                <w:szCs w:val="24"/>
                <w:color w:val="auto"/>
              </w:rPr>
            </w:pPr>
          </w:p>
        </w:tc>
        <w:tc>
          <w:tcPr>
            <w:tcW w:w="9340" w:type="dxa"/>
            <w:vAlign w:val="bottom"/>
            <w:gridSpan w:val="1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4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20" w:type="dxa"/>
            <w:vAlign w:val="bottom"/>
            <w:tcBorders>
              <w:top w:val="single" w:sz="8" w:color="0000EE"/>
            </w:tcBorders>
            <w:gridSpan w:val="2"/>
          </w:tcPr>
          <w:p>
            <w:pPr>
              <w:spacing w:after="0"/>
              <w:rPr>
                <w:sz w:val="24"/>
                <w:szCs w:val="24"/>
                <w:color w:val="auto"/>
              </w:rPr>
            </w:pPr>
          </w:p>
        </w:tc>
        <w:tc>
          <w:tcPr>
            <w:tcW w:w="520" w:type="dxa"/>
            <w:vAlign w:val="bottom"/>
            <w:gridSpan w:val="3"/>
          </w:tcPr>
          <w:p>
            <w:pPr>
              <w:spacing w:after="0"/>
              <w:rPr>
                <w:sz w:val="24"/>
                <w:szCs w:val="24"/>
                <w:color w:val="auto"/>
              </w:rPr>
            </w:pPr>
          </w:p>
        </w:tc>
        <w:tc>
          <w:tcPr>
            <w:tcW w:w="2380" w:type="dxa"/>
            <w:vAlign w:val="bottom"/>
            <w:tcBorders>
              <w:top w:val="single" w:sz="8" w:color="0000EE"/>
            </w:tcBorders>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96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80" w:type="dxa"/>
            <w:vAlign w:val="bottom"/>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November 30, 2019 (unaudited) and August 31, 2019</w:t>
              </w:r>
            </w:hyperlink>
          </w:p>
        </w:tc>
        <w:tc>
          <w:tcPr>
            <w:tcW w:w="2960" w:type="dxa"/>
            <w:vAlign w:val="bottom"/>
            <w:gridSpan w:val="5"/>
          </w:tcPr>
          <w:p>
            <w:pPr>
              <w:spacing w:after="0"/>
              <w:rPr>
                <w:sz w:val="24"/>
                <w:szCs w:val="24"/>
                <w:color w:val="auto"/>
              </w:rPr>
            </w:pPr>
          </w:p>
        </w:tc>
        <w:tc>
          <w:tcPr>
            <w:tcW w:w="920" w:type="dxa"/>
            <w:vAlign w:val="bottom"/>
            <w:gridSpan w:val="7"/>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960" w:type="dxa"/>
            <w:vAlign w:val="bottom"/>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(unaudited) for the Three Months Ended November 30, 2019 and 2018</w:t>
              </w:r>
            </w:hyperlink>
          </w:p>
        </w:tc>
        <w:tc>
          <w:tcPr>
            <w:tcW w:w="1380" w:type="dxa"/>
            <w:vAlign w:val="bottom"/>
            <w:gridSpan w:val="2"/>
          </w:tcPr>
          <w:p>
            <w:pPr>
              <w:spacing w:after="0"/>
              <w:rPr>
                <w:sz w:val="24"/>
                <w:szCs w:val="24"/>
                <w:color w:val="auto"/>
              </w:rPr>
            </w:pPr>
          </w:p>
        </w:tc>
        <w:tc>
          <w:tcPr>
            <w:tcW w:w="920" w:type="dxa"/>
            <w:vAlign w:val="bottom"/>
            <w:gridSpan w:val="7"/>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40" w:type="dxa"/>
            <w:vAlign w:val="bottom"/>
            <w:gridSpan w:val="19"/>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Statements of Comprehensive Income (unaudited) for the Three Months Ended November 30, 2019 and 2018</w:t>
              </w:r>
            </w:hyperlink>
          </w:p>
        </w:tc>
        <w:tc>
          <w:tcPr>
            <w:tcW w:w="920" w:type="dxa"/>
            <w:vAlign w:val="bottom"/>
            <w:gridSpan w:val="7"/>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8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Equity (unaudited) for the Three Months Ended November 30, 2019 and 2018</w:t>
              </w:r>
            </w:hyperlink>
          </w:p>
        </w:tc>
        <w:tc>
          <w:tcPr>
            <w:tcW w:w="460" w:type="dxa"/>
            <w:vAlign w:val="bottom"/>
          </w:tcPr>
          <w:p>
            <w:pPr>
              <w:spacing w:after="0"/>
              <w:rPr>
                <w:sz w:val="24"/>
                <w:szCs w:val="24"/>
                <w:color w:val="auto"/>
              </w:rPr>
            </w:pPr>
          </w:p>
        </w:tc>
        <w:tc>
          <w:tcPr>
            <w:tcW w:w="920" w:type="dxa"/>
            <w:vAlign w:val="bottom"/>
            <w:gridSpan w:val="7"/>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960" w:type="dxa"/>
            <w:vAlign w:val="bottom"/>
            <w:gridSpan w:val="17"/>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Cash Flows (unaudited) for the Three Months Ended November 30, 2019 and 2018</w:t>
              </w:r>
            </w:hyperlink>
          </w:p>
        </w:tc>
        <w:tc>
          <w:tcPr>
            <w:tcW w:w="1380" w:type="dxa"/>
            <w:vAlign w:val="bottom"/>
            <w:gridSpan w:val="2"/>
          </w:tcPr>
          <w:p>
            <w:pPr>
              <w:spacing w:after="0"/>
              <w:rPr>
                <w:sz w:val="24"/>
                <w:szCs w:val="24"/>
                <w:color w:val="auto"/>
              </w:rPr>
            </w:pPr>
          </w:p>
        </w:tc>
        <w:tc>
          <w:tcPr>
            <w:tcW w:w="920" w:type="dxa"/>
            <w:vAlign w:val="bottom"/>
            <w:gridSpan w:val="7"/>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96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1380" w:type="dxa"/>
            <w:vAlign w:val="bottom"/>
            <w:gridSpan w:val="2"/>
          </w:tcPr>
          <w:p>
            <w:pPr>
              <w:spacing w:after="0"/>
              <w:rPr>
                <w:sz w:val="24"/>
                <w:szCs w:val="24"/>
                <w:color w:val="auto"/>
              </w:rPr>
            </w:pPr>
          </w:p>
        </w:tc>
        <w:tc>
          <w:tcPr>
            <w:tcW w:w="920" w:type="dxa"/>
            <w:vAlign w:val="bottom"/>
            <w:gridSpan w:val="7"/>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6-17</w:t>
              </w:r>
            </w:hyperlink>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2.</w:t>
              </w:r>
            </w:hyperlink>
          </w:p>
        </w:tc>
        <w:tc>
          <w:tcPr>
            <w:tcW w:w="620" w:type="dxa"/>
            <w:vAlign w:val="bottom"/>
            <w:gridSpan w:val="4"/>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2880" w:type="dxa"/>
            <w:vAlign w:val="bottom"/>
            <w:gridSpan w:val="4"/>
          </w:tcPr>
          <w:p>
            <w:pPr>
              <w:spacing w:after="0"/>
              <w:rPr>
                <w:sz w:val="24"/>
                <w:szCs w:val="24"/>
                <w:color w:val="auto"/>
              </w:rPr>
            </w:pPr>
          </w:p>
        </w:tc>
        <w:tc>
          <w:tcPr>
            <w:tcW w:w="500" w:type="dxa"/>
            <w:vAlign w:val="bottom"/>
            <w:gridSpan w:val="2"/>
          </w:tcPr>
          <w:p>
            <w:pPr>
              <w:spacing w:after="0"/>
              <w:rPr>
                <w:sz w:val="24"/>
                <w:szCs w:val="24"/>
                <w:color w:val="auto"/>
              </w:rPr>
            </w:pPr>
          </w:p>
        </w:tc>
        <w:tc>
          <w:tcPr>
            <w:tcW w:w="420" w:type="dxa"/>
            <w:vAlign w:val="bottom"/>
            <w:tcBorders>
              <w:bottom w:val="single" w:sz="8" w:color="0000EE"/>
            </w:tcBorders>
            <w:gridSpan w:val="5"/>
          </w:tcPr>
          <w:p>
            <w:pPr>
              <w:jc w:val="right"/>
              <w:spacing w:after="0"/>
              <w:rPr>
                <w:rFonts w:ascii="Arial" w:cs="Arial" w:eastAsia="Arial" w:hAnsi="Arial"/>
                <w:sz w:val="18"/>
                <w:szCs w:val="18"/>
                <w:color w:val="0000EE"/>
                <w:w w:val="86"/>
              </w:rPr>
            </w:pPr>
            <w:hyperlink w:anchor="page21">
              <w:r>
                <w:rPr>
                  <w:rFonts w:ascii="Arial" w:cs="Arial" w:eastAsia="Arial" w:hAnsi="Arial"/>
                  <w:sz w:val="18"/>
                  <w:szCs w:val="18"/>
                  <w:color w:val="0000EE"/>
                  <w:w w:val="86"/>
                </w:rPr>
                <w:t>18-30</w:t>
              </w:r>
            </w:hyperlink>
          </w:p>
        </w:tc>
      </w:tr>
      <w:tr>
        <w:trPr>
          <w:trHeight w:val="412"/>
        </w:trPr>
        <w:tc>
          <w:tcPr>
            <w:tcW w:w="64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520" w:type="dxa"/>
            <w:vAlign w:val="bottom"/>
            <w:gridSpan w:val="3"/>
          </w:tcPr>
          <w:p>
            <w:pPr>
              <w:spacing w:after="0"/>
              <w:rPr>
                <w:sz w:val="24"/>
                <w:szCs w:val="24"/>
                <w:color w:val="auto"/>
              </w:rPr>
            </w:pPr>
          </w:p>
        </w:tc>
        <w:tc>
          <w:tcPr>
            <w:tcW w:w="934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920" w:type="dxa"/>
            <w:vAlign w:val="bottom"/>
            <w:gridSpan w:val="7"/>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4.</w:t>
              </w:r>
            </w:hyperlink>
          </w:p>
        </w:tc>
        <w:tc>
          <w:tcPr>
            <w:tcW w:w="120" w:type="dxa"/>
            <w:vAlign w:val="bottom"/>
            <w:tcBorders>
              <w:top w:val="single" w:sz="8" w:color="0000EE"/>
            </w:tcBorders>
            <w:gridSpan w:val="2"/>
          </w:tcPr>
          <w:p>
            <w:pPr>
              <w:spacing w:after="0"/>
              <w:rPr>
                <w:sz w:val="24"/>
                <w:szCs w:val="24"/>
                <w:color w:val="auto"/>
              </w:rPr>
            </w:pPr>
          </w:p>
        </w:tc>
        <w:tc>
          <w:tcPr>
            <w:tcW w:w="520" w:type="dxa"/>
            <w:vAlign w:val="bottom"/>
            <w:gridSpan w:val="3"/>
          </w:tcPr>
          <w:p>
            <w:pPr>
              <w:spacing w:after="0"/>
              <w:rPr>
                <w:sz w:val="24"/>
                <w:szCs w:val="24"/>
                <w:color w:val="auto"/>
              </w:rPr>
            </w:pPr>
          </w:p>
        </w:tc>
        <w:tc>
          <w:tcPr>
            <w:tcW w:w="4300" w:type="dxa"/>
            <w:vAlign w:val="bottom"/>
            <w:tcBorders>
              <w:top w:val="single" w:sz="8" w:color="0000EE"/>
            </w:tcBorders>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5040" w:type="dxa"/>
            <w:vAlign w:val="bottom"/>
            <w:gridSpan w:val="7"/>
          </w:tcPr>
          <w:p>
            <w:pPr>
              <w:spacing w:after="0"/>
              <w:rPr>
                <w:sz w:val="24"/>
                <w:szCs w:val="24"/>
                <w:color w:val="auto"/>
              </w:rPr>
            </w:pPr>
          </w:p>
        </w:tc>
        <w:tc>
          <w:tcPr>
            <w:tcW w:w="740" w:type="dxa"/>
            <w:vAlign w:val="bottom"/>
            <w:gridSpan w:val="4"/>
          </w:tcPr>
          <w:p>
            <w:pPr>
              <w:spacing w:after="0"/>
              <w:rPr>
                <w:sz w:val="24"/>
                <w:szCs w:val="24"/>
                <w:color w:val="auto"/>
              </w:rPr>
            </w:pPr>
          </w:p>
        </w:tc>
        <w:tc>
          <w:tcPr>
            <w:tcW w:w="18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31</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gridSpan w:val="6"/>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w:t>
              </w:r>
            </w:hyperlink>
          </w:p>
        </w:tc>
        <w:tc>
          <w:tcPr>
            <w:tcW w:w="9340" w:type="dxa"/>
            <w:vAlign w:val="bottom"/>
            <w:gridSpan w:val="19"/>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OTHER INFORMATION</w:t>
              </w:r>
            </w:hyperlink>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Item 1.</w:t>
              </w:r>
            </w:hyperlink>
          </w:p>
        </w:tc>
        <w:tc>
          <w:tcPr>
            <w:tcW w:w="160" w:type="dxa"/>
            <w:vAlign w:val="bottom"/>
            <w:tcBorders>
              <w:top w:val="single" w:sz="8" w:color="0000EE"/>
            </w:tcBorders>
            <w:gridSpan w:val="2"/>
          </w:tcPr>
          <w:p>
            <w:pPr>
              <w:spacing w:after="0"/>
              <w:rPr>
                <w:sz w:val="24"/>
                <w:szCs w:val="24"/>
                <w:color w:val="auto"/>
              </w:rPr>
            </w:pPr>
          </w:p>
        </w:tc>
        <w:tc>
          <w:tcPr>
            <w:tcW w:w="460" w:type="dxa"/>
            <w:vAlign w:val="bottom"/>
            <w:gridSpan w:val="2"/>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24"/>
                <w:szCs w:val="24"/>
                <w:color w:val="auto"/>
              </w:rPr>
            </w:pPr>
          </w:p>
        </w:tc>
        <w:tc>
          <w:tcPr>
            <w:tcW w:w="7320" w:type="dxa"/>
            <w:vAlign w:val="bottom"/>
            <w:gridSpan w:val="11"/>
          </w:tcPr>
          <w:p>
            <w:pPr>
              <w:spacing w:after="0"/>
              <w:rPr>
                <w:sz w:val="24"/>
                <w:szCs w:val="24"/>
                <w:color w:val="auto"/>
              </w:rPr>
            </w:pPr>
          </w:p>
        </w:tc>
        <w:tc>
          <w:tcPr>
            <w:tcW w:w="740" w:type="dxa"/>
            <w:vAlign w:val="bottom"/>
            <w:gridSpan w:val="4"/>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32</w:t>
              </w:r>
            </w:hyperlink>
          </w:p>
        </w:tc>
      </w:tr>
      <w:tr>
        <w:trPr>
          <w:trHeight w:val="412"/>
        </w:trPr>
        <w:tc>
          <w:tcPr>
            <w:tcW w:w="1160" w:type="dxa"/>
            <w:vAlign w:val="bottom"/>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1A.</w:t>
              </w:r>
            </w:hyperlink>
          </w:p>
        </w:tc>
        <w:tc>
          <w:tcPr>
            <w:tcW w:w="934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920" w:type="dxa"/>
            <w:vAlign w:val="bottom"/>
            <w:gridSpan w:val="7"/>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r>
      <w:tr>
        <w:trPr>
          <w:trHeight w:val="20"/>
        </w:trPr>
        <w:tc>
          <w:tcPr>
            <w:tcW w:w="64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520" w:type="dxa"/>
            <w:vAlign w:val="bottom"/>
            <w:gridSpan w:val="3"/>
          </w:tcPr>
          <w:p>
            <w:pPr>
              <w:spacing w:after="0"/>
              <w:rPr>
                <w:sz w:val="24"/>
                <w:szCs w:val="24"/>
                <w:color w:val="auto"/>
              </w:rPr>
            </w:pPr>
          </w:p>
        </w:tc>
        <w:tc>
          <w:tcPr>
            <w:tcW w:w="934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920" w:type="dxa"/>
            <w:vAlign w:val="bottom"/>
            <w:gridSpan w:val="7"/>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Item 3.</w:t>
              </w:r>
            </w:hyperlink>
          </w:p>
        </w:tc>
        <w:tc>
          <w:tcPr>
            <w:tcW w:w="620" w:type="dxa"/>
            <w:vAlign w:val="bottom"/>
            <w:gridSpan w:val="4"/>
          </w:tcPr>
          <w:p>
            <w:pPr>
              <w:spacing w:after="0"/>
              <w:rPr>
                <w:sz w:val="24"/>
                <w:szCs w:val="24"/>
                <w:color w:val="auto"/>
              </w:rPr>
            </w:pP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5000" w:type="dxa"/>
            <w:vAlign w:val="bottom"/>
            <w:gridSpan w:val="6"/>
          </w:tcPr>
          <w:p>
            <w:pPr>
              <w:spacing w:after="0"/>
              <w:rPr>
                <w:sz w:val="24"/>
                <w:szCs w:val="24"/>
                <w:color w:val="auto"/>
              </w:rPr>
            </w:pPr>
          </w:p>
        </w:tc>
        <w:tc>
          <w:tcPr>
            <w:tcW w:w="740" w:type="dxa"/>
            <w:vAlign w:val="bottom"/>
            <w:gridSpan w:val="4"/>
          </w:tcPr>
          <w:p>
            <w:pPr>
              <w:spacing w:after="0"/>
              <w:rPr>
                <w:sz w:val="24"/>
                <w:szCs w:val="24"/>
                <w:color w:val="auto"/>
              </w:rPr>
            </w:pPr>
          </w:p>
        </w:tc>
        <w:tc>
          <w:tcPr>
            <w:tcW w:w="18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33</w:t>
              </w:r>
            </w:hyperlink>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Item 4.</w:t>
              </w:r>
            </w:hyperlink>
          </w:p>
        </w:tc>
        <w:tc>
          <w:tcPr>
            <w:tcW w:w="620" w:type="dxa"/>
            <w:vAlign w:val="bottom"/>
            <w:gridSpan w:val="4"/>
          </w:tcPr>
          <w:p>
            <w:pPr>
              <w:spacing w:after="0"/>
              <w:rPr>
                <w:sz w:val="24"/>
                <w:szCs w:val="24"/>
                <w:color w:val="auto"/>
              </w:rPr>
            </w:pP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7020" w:type="dxa"/>
            <w:vAlign w:val="bottom"/>
            <w:gridSpan w:val="10"/>
          </w:tcPr>
          <w:p>
            <w:pPr>
              <w:spacing w:after="0"/>
              <w:rPr>
                <w:sz w:val="24"/>
                <w:szCs w:val="24"/>
                <w:color w:val="auto"/>
              </w:rPr>
            </w:pPr>
          </w:p>
        </w:tc>
        <w:tc>
          <w:tcPr>
            <w:tcW w:w="740" w:type="dxa"/>
            <w:vAlign w:val="bottom"/>
            <w:gridSpan w:val="4"/>
          </w:tcPr>
          <w:p>
            <w:pPr>
              <w:spacing w:after="0"/>
              <w:rPr>
                <w:sz w:val="24"/>
                <w:szCs w:val="24"/>
                <w:color w:val="auto"/>
              </w:rPr>
            </w:pPr>
          </w:p>
        </w:tc>
        <w:tc>
          <w:tcPr>
            <w:tcW w:w="18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33</w:t>
              </w:r>
            </w:hyperlink>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Item 5.</w:t>
              </w:r>
            </w:hyperlink>
          </w:p>
        </w:tc>
        <w:tc>
          <w:tcPr>
            <w:tcW w:w="620" w:type="dxa"/>
            <w:vAlign w:val="bottom"/>
            <w:gridSpan w:val="4"/>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7580" w:type="dxa"/>
            <w:vAlign w:val="bottom"/>
            <w:gridSpan w:val="12"/>
          </w:tcPr>
          <w:p>
            <w:pPr>
              <w:spacing w:after="0"/>
              <w:rPr>
                <w:sz w:val="24"/>
                <w:szCs w:val="24"/>
                <w:color w:val="auto"/>
              </w:rPr>
            </w:pPr>
          </w:p>
        </w:tc>
        <w:tc>
          <w:tcPr>
            <w:tcW w:w="7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33</w:t>
              </w:r>
            </w:hyperlink>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Item 6.</w:t>
              </w:r>
            </w:hyperlink>
          </w:p>
        </w:tc>
        <w:tc>
          <w:tcPr>
            <w:tcW w:w="620" w:type="dxa"/>
            <w:vAlign w:val="bottom"/>
            <w:gridSpan w:val="4"/>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Exhibits</w:t>
              </w:r>
            </w:hyperlink>
          </w:p>
        </w:tc>
        <w:tc>
          <w:tcPr>
            <w:tcW w:w="8740" w:type="dxa"/>
            <w:vAlign w:val="bottom"/>
            <w:gridSpan w:val="17"/>
          </w:tcPr>
          <w:p>
            <w:pPr>
              <w:spacing w:after="0"/>
              <w:rPr>
                <w:sz w:val="24"/>
                <w:szCs w:val="24"/>
                <w:color w:val="auto"/>
              </w:rPr>
            </w:pPr>
          </w:p>
        </w:tc>
        <w:tc>
          <w:tcPr>
            <w:tcW w:w="740" w:type="dxa"/>
            <w:vAlign w:val="bottom"/>
            <w:gridSpan w:val="4"/>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33</w:t>
              </w:r>
            </w:hyperlink>
          </w:p>
        </w:tc>
      </w:tr>
      <w:tr>
        <w:trPr>
          <w:trHeight w:val="412"/>
        </w:trPr>
        <w:tc>
          <w:tcPr>
            <w:tcW w:w="160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37">
              <w:r>
                <w:rPr>
                  <w:rFonts w:ascii="Arial" w:cs="Arial" w:eastAsia="Arial" w:hAnsi="Arial"/>
                  <w:sz w:val="18"/>
                  <w:szCs w:val="18"/>
                  <w:b w:val="1"/>
                  <w:bCs w:val="1"/>
                  <w:color w:val="0000EE"/>
                  <w:w w:val="97"/>
                </w:rPr>
                <w:t>SIGNATURE PAGE</w:t>
              </w:r>
            </w:hyperlink>
          </w:p>
        </w:tc>
        <w:tc>
          <w:tcPr>
            <w:tcW w:w="8900" w:type="dxa"/>
            <w:vAlign w:val="bottom"/>
            <w:gridSpan w:val="18"/>
          </w:tcPr>
          <w:p>
            <w:pPr>
              <w:spacing w:after="0"/>
              <w:rPr>
                <w:sz w:val="24"/>
                <w:szCs w:val="24"/>
                <w:color w:val="auto"/>
              </w:rPr>
            </w:pPr>
          </w:p>
        </w:tc>
        <w:tc>
          <w:tcPr>
            <w:tcW w:w="740" w:type="dxa"/>
            <w:vAlign w:val="bottom"/>
            <w:gridSpan w:val="4"/>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34</w:t>
              </w:r>
            </w:hyperlink>
          </w:p>
        </w:tc>
      </w:tr>
      <w:tr>
        <w:trPr>
          <w:trHeight w:val="453"/>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80" w:type="dxa"/>
            <w:vAlign w:val="bottom"/>
            <w:gridSpan w:val="14"/>
          </w:tcPr>
          <w:p>
            <w:pPr>
              <w:ind w:left="3780"/>
              <w:spacing w:after="0"/>
              <w:rPr>
                <w:sz w:val="20"/>
                <w:szCs w:val="20"/>
                <w:color w:val="auto"/>
              </w:rPr>
            </w:pPr>
            <w:r>
              <w:rPr>
                <w:rFonts w:ascii="Arial" w:cs="Arial" w:eastAsia="Arial" w:hAnsi="Arial"/>
                <w:sz w:val="18"/>
                <w:szCs w:val="18"/>
                <w:color w:val="auto"/>
              </w:rPr>
              <w:t>_________________</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 Forward-Looking Statements.”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As used in this report, references to “NTIC,” the “Company,” “we,” “our” or “us,” unless the context otherwise requires, refer to Northern Technologies International Corporation and its wholly-owned and majority-owned subsidiaries, all of which are consolidated on NTIC’s consolidated financial statements.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As used in this report, references to: (1) “NTIC China” refer to NTIC’s wholly-owned subsidiary in China, NTIC (Shanghai) Co., Ltd.; (2) “NTI Europe” refer to NTIC’s wholly-owned subsidiary in Germany, NTIC Europe GmbH; (3) “Zerust Mexico” refer to NTIC’s wholly-owned subsidiary in Mexico, ZERUST-EXCOR MEXICO, S. de R.L. de C.V; and (4)“NTI Asean” refer to NTIC’s majority-owned holding company subsidiary, NTI Asean LLC, which holds investments in certain entities that operate in the Association of Southeast Asian Nations (ASEAN) region, including the following countries: Indonesia, South Korea, Malaysia, Philippines, Singapore, Taiwan, Thailand and Vietnam.</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any of NTIC’s wholly-owned or majority-owned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used in this report, references to “EXCOR” refer to NTIC’s joint venture in Germany, Excor Korrosionsschutz – Technologien und Produkte GmbH.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On June 3, 2019, the Company’s Board of Directors declared a two-for-one stock split of the Company’s common stock effected in the form of a 100% share dividend distributed on June 28, 2019 to record holders as of June 17, 2019. All share and per share values in this report have been adjusted to retroactively reflect the effect of the two-for-one stock split.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AS OF NOVEMBER 30, 2019 (UNAUDITED) AND AUGUST 31, 2019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480" w:type="dxa"/>
            <w:vAlign w:val="bottom"/>
          </w:tcPr>
          <w:p>
            <w:pPr>
              <w:spacing w:after="0"/>
              <w:rPr>
                <w:sz w:val="23"/>
                <w:szCs w:val="23"/>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5"/>
              </w:rPr>
              <w:t>November 30, 2019</w:t>
            </w:r>
          </w:p>
        </w:tc>
        <w:tc>
          <w:tcPr>
            <w:tcW w:w="2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August 31, 2019</w:t>
            </w:r>
          </w:p>
        </w:tc>
      </w:tr>
      <w:tr>
        <w:trPr>
          <w:trHeight w:val="197"/>
        </w:trPr>
        <w:tc>
          <w:tcPr>
            <w:tcW w:w="8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4,106,796</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5,856,758</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Available for sale securities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2,987,095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3,565,258</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2"/>
        </w:trPr>
        <w:tc>
          <w:tcPr>
            <w:tcW w:w="8480" w:type="dxa"/>
            <w:vAlign w:val="bottom"/>
          </w:tcPr>
          <w:p>
            <w:pPr>
              <w:ind w:left="540"/>
              <w:spacing w:after="0" w:line="201" w:lineRule="exact"/>
              <w:rPr>
                <w:sz w:val="20"/>
                <w:szCs w:val="20"/>
                <w:color w:val="auto"/>
              </w:rPr>
            </w:pPr>
            <w:r>
              <w:rPr>
                <w:rFonts w:ascii="Arial" w:cs="Arial" w:eastAsia="Arial" w:hAnsi="Arial"/>
                <w:sz w:val="18"/>
                <w:szCs w:val="18"/>
                <w:color w:val="auto"/>
                <w:w w:val="94"/>
              </w:rPr>
              <w:t>Trade excluding joint ventures, less allowance for doubtful accounts of $65,000 as of November 30, 2019</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8480" w:type="dxa"/>
            <w:vAlign w:val="bottom"/>
          </w:tcPr>
          <w:p>
            <w:pPr>
              <w:ind w:left="720"/>
              <w:spacing w:after="0"/>
              <w:rPr>
                <w:sz w:val="20"/>
                <w:szCs w:val="20"/>
                <w:color w:val="auto"/>
              </w:rPr>
            </w:pPr>
            <w:r>
              <w:rPr>
                <w:rFonts w:ascii="Arial" w:cs="Arial" w:eastAsia="Arial" w:hAnsi="Arial"/>
                <w:sz w:val="18"/>
                <w:szCs w:val="18"/>
                <w:color w:val="auto"/>
              </w:rPr>
              <w:t>and August 31, 2019</w:t>
            </w: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10,360,766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9,779,518</w:t>
            </w:r>
          </w:p>
        </w:tc>
      </w:tr>
      <w:tr>
        <w:trPr>
          <w:trHeight w:val="216"/>
        </w:trPr>
        <w:tc>
          <w:tcPr>
            <w:tcW w:w="8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Trade joint ventures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641,675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824,473</w:t>
            </w:r>
          </w:p>
        </w:tc>
      </w:tr>
      <w:tr>
        <w:trPr>
          <w:trHeight w:val="216"/>
        </w:trPr>
        <w:tc>
          <w:tcPr>
            <w:tcW w:w="8480" w:type="dxa"/>
            <w:vAlign w:val="bottom"/>
          </w:tcPr>
          <w:p>
            <w:pPr>
              <w:ind w:left="540"/>
              <w:spacing w:after="0"/>
              <w:rPr>
                <w:sz w:val="20"/>
                <w:szCs w:val="20"/>
                <w:color w:val="auto"/>
              </w:rPr>
            </w:pPr>
            <w:r>
              <w:rPr>
                <w:rFonts w:ascii="Arial" w:cs="Arial" w:eastAsia="Arial" w:hAnsi="Arial"/>
                <w:sz w:val="18"/>
                <w:szCs w:val="18"/>
                <w:color w:val="auto"/>
              </w:rPr>
              <w:t>Fees for services provided to joint ventures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1,365,864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1,268,000</w:t>
            </w:r>
          </w:p>
        </w:tc>
      </w:tr>
      <w:tr>
        <w:trPr>
          <w:trHeight w:val="216"/>
        </w:trPr>
        <w:tc>
          <w:tcPr>
            <w:tcW w:w="8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68,085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457,018</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11,259,449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10,488,728</w:t>
            </w: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1,170,026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1,062,609</w:t>
            </w:r>
          </w:p>
        </w:tc>
      </w:tr>
      <w:tr>
        <w:trPr>
          <w:trHeight w:val="210"/>
        </w:trPr>
        <w:tc>
          <w:tcPr>
            <w:tcW w:w="84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31,959,756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33,302,362</w:t>
            </w:r>
          </w:p>
        </w:tc>
      </w:tr>
      <w:tr>
        <w:trPr>
          <w:trHeight w:val="21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7,346,478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7,358,159</w:t>
            </w:r>
          </w:p>
        </w:tc>
      </w:tr>
      <w:tr>
        <w:trPr>
          <w:trHeight w:val="210"/>
        </w:trPr>
        <w:tc>
          <w:tcPr>
            <w:tcW w:w="8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LEASE RIGHT OF USE ASSET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598,784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Investments in joint ventures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25,402,933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24,207,339</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1,646,900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1,634,258</w:t>
            </w:r>
          </w:p>
        </w:tc>
      </w:tr>
      <w:tr>
        <w:trPr>
          <w:trHeight w:val="230"/>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Patents and trademarks,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972,514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1,008,969</w:t>
            </w:r>
          </w:p>
        </w:tc>
      </w:tr>
      <w:tr>
        <w:trPr>
          <w:trHeight w:val="210"/>
        </w:trPr>
        <w:tc>
          <w:tcPr>
            <w:tcW w:w="8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28,022,347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26,850,566</w:t>
            </w:r>
          </w:p>
        </w:tc>
      </w:tr>
      <w:tr>
        <w:trPr>
          <w:trHeight w:val="263"/>
        </w:trPr>
        <w:tc>
          <w:tcPr>
            <w:tcW w:w="84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67,927,365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67,511,087</w:t>
            </w:r>
          </w:p>
        </w:tc>
      </w:tr>
      <w:tr>
        <w:trPr>
          <w:trHeight w:val="197"/>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4,118,636</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4,505,531</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60,307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6,759</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480" w:type="dxa"/>
            <w:vAlign w:val="bottom"/>
          </w:tcPr>
          <w:p>
            <w:pPr>
              <w:ind w:left="540"/>
              <w:spacing w:after="0"/>
              <w:rPr>
                <w:sz w:val="20"/>
                <w:szCs w:val="20"/>
                <w:color w:val="auto"/>
              </w:rPr>
            </w:pPr>
            <w:r>
              <w:rPr>
                <w:rFonts w:ascii="Arial" w:cs="Arial" w:eastAsia="Arial" w:hAnsi="Arial"/>
                <w:sz w:val="18"/>
                <w:szCs w:val="18"/>
                <w:color w:val="auto"/>
              </w:rPr>
              <w:t>Payroll and related benefits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1,130,175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1,857,971</w:t>
            </w:r>
          </w:p>
        </w:tc>
      </w:tr>
      <w:tr>
        <w:trPr>
          <w:trHeight w:val="216"/>
        </w:trPr>
        <w:tc>
          <w:tcPr>
            <w:tcW w:w="8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1,101,408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1,471,532</w:t>
            </w:r>
          </w:p>
        </w:tc>
      </w:tr>
      <w:tr>
        <w:trPr>
          <w:trHeight w:val="230"/>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Current portion of operating lease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295,856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6,706,382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7,841,793</w:t>
            </w:r>
          </w:p>
        </w:tc>
      </w:tr>
      <w:tr>
        <w:trPr>
          <w:trHeight w:val="210"/>
        </w:trPr>
        <w:tc>
          <w:tcPr>
            <w:tcW w:w="8480" w:type="dxa"/>
            <w:vAlign w:val="bottom"/>
          </w:tcPr>
          <w:p>
            <w:pPr>
              <w:ind w:left="180"/>
              <w:spacing w:after="0"/>
              <w:rPr>
                <w:sz w:val="20"/>
                <w:szCs w:val="20"/>
                <w:color w:val="auto"/>
              </w:rPr>
            </w:pPr>
            <w:r>
              <w:rPr>
                <w:rFonts w:ascii="Arial" w:cs="Arial" w:eastAsia="Arial" w:hAnsi="Arial"/>
                <w:sz w:val="18"/>
                <w:szCs w:val="18"/>
                <w:color w:val="auto"/>
              </w:rPr>
              <w:t>LONG-TERM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less current portion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302,928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COMMITMENTS AND CONTINGENCIES (Note 12)</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3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Common stock, $0.02 par value per share; authorized 15,000,000 shares as of November 30, 2019 and August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8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31, 2019; issued and outstanding 9,097,236 and 9,086,816, respectively</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181,945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181,736</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16,367,555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16,013,338</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45,614,390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44,992,719</w:t>
            </w:r>
          </w:p>
        </w:tc>
      </w:tr>
      <w:tr>
        <w:trPr>
          <w:trHeight w:val="230"/>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(4,490,364)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(4,593,178)</w:t>
            </w:r>
          </w:p>
        </w:tc>
      </w:tr>
      <w:tr>
        <w:trPr>
          <w:trHeight w:val="210"/>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57,673,526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56,594,615</w:t>
            </w:r>
          </w:p>
        </w:tc>
      </w:tr>
      <w:tr>
        <w:trPr>
          <w:trHeight w:val="230"/>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3,244,529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3,074,679</w:t>
            </w:r>
          </w:p>
        </w:tc>
      </w:tr>
      <w:tr>
        <w:trPr>
          <w:trHeight w:val="210"/>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60,918,055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59,669,294</w:t>
            </w:r>
          </w:p>
        </w:tc>
      </w:tr>
      <w:tr>
        <w:trPr>
          <w:trHeight w:val="223"/>
        </w:trPr>
        <w:tc>
          <w:tcPr>
            <w:tcW w:w="848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67,927,365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67,511,087</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notes to consolidated financial statements.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 FOR THE THREE MONTHS ENDED NOVEMBER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November 30, 2019</w:t>
            </w:r>
          </w:p>
        </w:tc>
        <w:tc>
          <w:tcPr>
            <w:tcW w:w="1520" w:type="dxa"/>
            <w:vAlign w:val="bottom"/>
            <w:gridSpan w:val="3"/>
          </w:tcPr>
          <w:p>
            <w:pPr>
              <w:ind w:left="40"/>
              <w:spacing w:after="0"/>
              <w:rPr>
                <w:sz w:val="20"/>
                <w:szCs w:val="20"/>
                <w:color w:val="auto"/>
              </w:rPr>
            </w:pPr>
            <w:r>
              <w:rPr>
                <w:rFonts w:ascii="Arial" w:cs="Arial" w:eastAsia="Arial" w:hAnsi="Arial"/>
                <w:sz w:val="18"/>
                <w:szCs w:val="18"/>
                <w:b w:val="1"/>
                <w:bCs w:val="1"/>
                <w:color w:val="auto"/>
                <w:w w:val="89"/>
              </w:rPr>
              <w:t>November 30, 2018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Net sales, excluding joint ventures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14,045,784</w:t>
            </w:r>
          </w:p>
        </w:tc>
        <w:tc>
          <w:tcPr>
            <w:tcW w:w="6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13,610,865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joint ventures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585,616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483,187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14,631,400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14,094,052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9,805,084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9,461,137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4,826,316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4,632,915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Equity in income from joint ventures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1,293,990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2,004,162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services provided to joint ventures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1,358,325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1,428,435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Total joint venture operations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2,652,315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3,432,597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2,887,292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2,049,687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2,495,797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961,641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872,157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5,898,620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6,179,048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1,580,011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1,886,464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49,038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12,787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1,623,605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1,896,894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264,066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255,703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1,359,539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1,641,191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146,989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144,132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1,212,550</w:t>
            </w:r>
          </w:p>
        </w:tc>
        <w:tc>
          <w:tcPr>
            <w:tcW w:w="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1,497,059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 PER COMMON SHARE: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60" w:type="dxa"/>
            <w:vAlign w:val="bottom"/>
          </w:tcPr>
          <w:p>
            <w:pPr>
              <w:spacing w:after="0"/>
              <w:rPr>
                <w:sz w:val="24"/>
                <w:szCs w:val="24"/>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0.13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9,095,607</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9,084,350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9,407,642</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9,478,576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restart"/>
          </w:tcPr>
          <w:p>
            <w:pPr>
              <w:spacing w:after="0"/>
              <w:rPr>
                <w:sz w:val="20"/>
                <w:szCs w:val="20"/>
                <w:color w:val="auto"/>
              </w:rPr>
            </w:pPr>
          </w:p>
        </w:tc>
        <w:tc>
          <w:tcPr>
            <w:tcW w:w="8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0.065</w:t>
            </w:r>
          </w:p>
        </w:tc>
        <w:tc>
          <w:tcPr>
            <w:tcW w:w="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 and per share data have been adjusted for all periods presented to reflect the two-for-one stock split effective June 28,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COMPREHENSIVE INCOME (UNAUDITED) FOR THE THREE MONTHS ENDED NOVEMBER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5"/>
              </w:rPr>
              <w:t>November 30, 2019</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w w:val="89"/>
              </w:rPr>
              <w:t>November 30,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1,359,539</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1,641,191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w w:val="97"/>
              </w:rPr>
              <w:t>OTHER COMPREHENSIVE INCOME (LOSS) – FOREIGN CURRENCY TRANSLATION ADJUSTMENT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125,676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1,485,215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1,343,369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169,851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COMPREHENSIVE INCOME ATTRIBUTABLE TO NTIC</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1,315,364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1,176,173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NOVEMBER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7"/>
          </w:tcPr>
          <w:p>
            <w:pPr>
              <w:jc w:val="right"/>
              <w:ind w:right="47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2360" w:type="dxa"/>
            <w:vAlign w:val="bottom"/>
            <w:gridSpan w:val="5"/>
          </w:tcPr>
          <w:p>
            <w:pPr>
              <w:ind w:left="54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1"/>
                <w:szCs w:val="21"/>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Retained</w:t>
            </w:r>
          </w:p>
        </w:tc>
        <w:tc>
          <w:tcPr>
            <w:tcW w:w="1340" w:type="dxa"/>
            <w:vAlign w:val="bottom"/>
            <w:gridSpan w:val="4"/>
          </w:tcPr>
          <w:p>
            <w:pPr>
              <w:ind w:left="100"/>
              <w:spacing w:after="0"/>
              <w:rPr>
                <w:sz w:val="20"/>
                <w:szCs w:val="20"/>
                <w:color w:val="auto"/>
              </w:rPr>
            </w:pPr>
            <w:r>
              <w:rPr>
                <w:rFonts w:ascii="Arial" w:cs="Arial" w:eastAsia="Arial" w:hAnsi="Arial"/>
                <w:sz w:val="18"/>
                <w:szCs w:val="18"/>
                <w:b w:val="1"/>
                <w:bCs w:val="1"/>
                <w:color w:val="auto"/>
                <w:w w:val="90"/>
              </w:rPr>
              <w:t>Comprehensive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Controlling</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Capital</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Earnings</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88"/>
              </w:rPr>
              <w:t>Income (Loss)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7"/>
              </w:rPr>
              <w:t>Interests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9,082,606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90,826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14,619,777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41,963,341</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(3,597,199)</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2,742,309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55,819,054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rPr>
              <w:t>Stock issued for employee stock</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17,663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357,980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7"/>
              </w:rPr>
              <w:t>Investment by non-controlling interest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134,034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134,034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1,497,055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(320,886)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167,200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1,343,369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AT NOVEMBER 30, 2018</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9,084,354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90,844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14,995,420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42,915,335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(3,918,085)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3,043,543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57,127,057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restart"/>
          </w:tcPr>
          <w:p>
            <w:pPr>
              <w:spacing w:after="0"/>
              <w:rPr>
                <w:sz w:val="20"/>
                <w:szCs w:val="20"/>
                <w:color w:val="auto"/>
              </w:rPr>
            </w:pPr>
          </w:p>
        </w:tc>
        <w:tc>
          <w:tcPr>
            <w:tcW w:w="2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2019</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9,086,816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181,736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16,013,338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44,992,719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(4,593,178)</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3,074,679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59,669,294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6,823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issued for employee stock</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plan</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35,535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Stock option expense</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318,818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318,818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7"/>
              </w:rPr>
              <w:t>Investment by non-controlling interest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(590,879)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(590,879)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1,212,550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102,814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169,851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1,485,215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8"/>
              </w:rPr>
              <w:t>BALANCE AT NOVEMBER 30, 2019</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9,097,236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181,945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16,367,554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45,614,390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(4,490,364)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3,244,530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60,918,055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*Share and per share data have been adjusted for all periods presented to reflect the two-for-one stock split effective June 28, 2019.</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See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FOR THE THREE MONTHS ENDED NOVEMBER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6"/>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15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3"/>
              </w:rPr>
              <w:t>November 30, 2019</w:t>
            </w:r>
          </w:p>
        </w:tc>
        <w:tc>
          <w:tcPr>
            <w:tcW w:w="15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89"/>
              </w:rPr>
              <w:t>November 30, 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1,359,539</w:t>
            </w:r>
          </w:p>
        </w:tc>
        <w:tc>
          <w:tcPr>
            <w:tcW w:w="6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1,641,191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318,818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357,980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211,132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Amortization expense</w:t>
            </w: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58,521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64,443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income from joint ventures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(1,293,990)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Dividends received from joint ventures</w:t>
            </w: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205,432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1,486,705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114,166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Changes in current assets and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520"/>
              <w:spacing w:after="0"/>
              <w:rPr>
                <w:sz w:val="20"/>
                <w:szCs w:val="20"/>
                <w:color w:val="auto"/>
              </w:rPr>
            </w:pPr>
            <w:r>
              <w:rPr>
                <w:rFonts w:ascii="Arial" w:cs="Arial" w:eastAsia="Arial" w:hAnsi="Arial"/>
                <w:sz w:val="18"/>
                <w:szCs w:val="18"/>
                <w:color w:val="auto"/>
              </w:rPr>
              <w:t>Trade, excluding joint ventures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(534,080)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Trade, joint ventures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182,798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520"/>
              <w:spacing w:after="0"/>
              <w:rPr>
                <w:sz w:val="20"/>
                <w:szCs w:val="20"/>
                <w:color w:val="auto"/>
              </w:rPr>
            </w:pPr>
            <w:r>
              <w:rPr>
                <w:rFonts w:ascii="Arial" w:cs="Arial" w:eastAsia="Arial" w:hAnsi="Arial"/>
                <w:sz w:val="18"/>
                <w:szCs w:val="18"/>
                <w:color w:val="auto"/>
              </w:rPr>
              <w:t>Fees for services provided to joint ventures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(97,864)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85,177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taxes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262,440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(734,384)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(1,075,014)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518,930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165,553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payable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7,970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(2,049,549)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(1,567,157)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Purchase of available for sale securities</w:t>
            </w: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3,100,000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(2,521,837)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1,588,180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(197,370)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in patents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353,300</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1,463,950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received by non-controlling interest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Investment by non-controlling interest</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134,034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NTIC common stock</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(590,878)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35,607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finance lease obligations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(555,271)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19,166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(1,749,962)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355,928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5,856,758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4,163,023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4,106,796</w:t>
            </w:r>
          </w:p>
        </w:tc>
        <w:tc>
          <w:tcPr>
            <w:tcW w:w="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4,518,951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top w:val="single" w:sz="8" w:color="CCEEFF"/>
              <w:bottom w:val="single" w:sz="8" w:color="CCEEFF"/>
            </w:tcBorders>
            <w:vMerge w:val="restart"/>
          </w:tcPr>
          <w:p>
            <w:pPr>
              <w:jc w:val="center"/>
              <w:ind w:left="2950"/>
              <w:spacing w:after="0"/>
              <w:rPr>
                <w:sz w:val="20"/>
                <w:szCs w:val="20"/>
                <w:color w:val="auto"/>
              </w:rPr>
            </w:pPr>
            <w:r>
              <w:rPr>
                <w:rFonts w:ascii="Arial" w:cs="Arial" w:eastAsia="Arial" w:hAnsi="Arial"/>
                <w:sz w:val="18"/>
                <w:szCs w:val="18"/>
                <w:color w:val="auto"/>
                <w:w w:val="88"/>
              </w:rPr>
              <w:t>See notes to consolidated financial statements.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360" w:type="dxa"/>
            <w:vAlign w:val="bottom"/>
            <w:gridSpan w:val="2"/>
          </w:tcPr>
          <w:p>
            <w:pPr>
              <w:jc w:val="right"/>
              <w:ind w:right="251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34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8" w:name="page9"/>
    <w:bookmarkEnd w:id="8"/>
    <w:p>
      <w:pPr>
        <w:ind w:right="412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5" w:lineRule="exact"/>
        <w:rPr>
          <w:sz w:val="20"/>
          <w:szCs w:val="20"/>
          <w:color w:val="auto"/>
        </w:rPr>
      </w:pPr>
    </w:p>
    <w:p>
      <w:pPr>
        <w:ind w:left="1300" w:hanging="1292"/>
        <w:spacing w:after="0"/>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2019 and August 31, 2019 and the results of the Company’s operations for the three months ended November 30, 2019 and 2018, the changes in stockholders’ equity for the three months ended November 30, 2019 and 2018 and the Company’s cash flows for the three months ended November 30, 2019 and 2018, in conformity with accounting principles generally accepted in the United States of America (U.S. GAAP).</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These consolidated financial statements should be read in conjunction with the consolidated financial statements and related notes contained in the Company’s annual report on Form 10-K for the fiscal year ended August 31, 2019. These consolidated financial statements also should be read in conjunction with the “Management’s Discussion and Analysis of Financial Condition and Results of Operations” section appearing in this report.</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June 3, 2019, the Company’s Board of Directors declared a two-for-one stock split of the Company’s common stock effected in the form of a 100% share dividend distributed on June 28, 2019 to record holders as of June 17, 2019. All share and per share values in this report have been adjusted to retroactively reflect the effect of the two-for-one stock split.</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Operating results for the three months ended November 30, 2019 are not necessarily indicative of the results that may be expected for the full fiscal year ending August 31, 2020.</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66" w:lineRule="exact"/>
        <w:rPr>
          <w:sz w:val="20"/>
          <w:szCs w:val="20"/>
          <w:color w:val="auto"/>
        </w:rPr>
      </w:pPr>
    </w:p>
    <w:p>
      <w:pPr>
        <w:ind w:left="1300" w:hanging="1292"/>
        <w:spacing w:after="0"/>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Adopted</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The guidance in ASU 2016-02 supersedes the lease recognition requirements in the Accounting Standards Codification Topic 840, Leases. ASU 2016-02 requires an entity to recognize assets and liabilities arising from a lease for both financing and operating leases, along with additional qualitative and quantitative disclosures. This standard became effective for the Company on September 1, 2019.</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FASB has subsequently issued the following amendments to ASU 2016-02, which have the same effective date and transition date of September 1, 2019, and which are collectively referred to as the new leasing standards:</w:t>
      </w:r>
    </w:p>
    <w:p>
      <w:pPr>
        <w:spacing w:after="0" w:line="170" w:lineRule="exact"/>
        <w:rPr>
          <w:sz w:val="20"/>
          <w:szCs w:val="20"/>
          <w:color w:val="auto"/>
        </w:rPr>
      </w:pPr>
    </w:p>
    <w:p>
      <w:pPr>
        <w:ind w:left="660" w:right="4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ASU No. 2018-01, Leases (Topic 842): Land Easement Practical Expedient for Transition to Topic 842, which permits an entity to elect an optional transition practical expedient to not evaluate under Topic 842 land easements that existed or expired prior to adoption of Topic 842 and that were not previously accounted for as leases under the prior standard, ASC 840, Leases.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ASU No. 2018-10, Codification Improvements to Topic 842, Leases, which amends certain narrow aspects of the guidance issued in ASU 2016-02.</w:t>
      </w:r>
    </w:p>
    <w:p>
      <w:pPr>
        <w:spacing w:after="0" w:line="248" w:lineRule="exact"/>
        <w:rPr>
          <w:rFonts w:ascii="Arial" w:cs="Arial" w:eastAsia="Arial" w:hAnsi="Arial"/>
          <w:sz w:val="16"/>
          <w:szCs w:val="16"/>
          <w:color w:val="auto"/>
        </w:rPr>
      </w:pPr>
    </w:p>
    <w:p>
      <w:pPr>
        <w:ind w:left="660" w:right="520" w:hanging="328"/>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ASU No. 2018-11, Leases (Topic 842): Targeted Improvements, which allows for a transition approach to initially apply ASU 2016-02 at the adoption date and recognize a cumulative-effect adjustment to the opening balance of retained earnings in the period of adoption as well as an additional practical expedient for lessors to not separate non-lease components from the associated lease component.</w:t>
      </w:r>
    </w:p>
    <w:p>
      <w:pPr>
        <w:spacing w:after="0" w:line="165" w:lineRule="exact"/>
        <w:rPr>
          <w:rFonts w:ascii="Arial" w:cs="Arial" w:eastAsia="Arial" w:hAnsi="Arial"/>
          <w:sz w:val="17"/>
          <w:szCs w:val="17"/>
          <w:color w:val="auto"/>
        </w:rPr>
      </w:pPr>
    </w:p>
    <w:p>
      <w:pPr>
        <w:ind w:left="660" w:right="3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ASU No. 2018-20, Narrow-Scope Improvements for Lessors, which contains certain narrow scope improvements to the guidance issued in ASU 2016-02.</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Additional information and disclosures required by this new standard are contained in Note 12, titled “Commitments and Contingencies.”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adopted the new leasing standards on September 1, 2019, using a modified retrospective transition approach to be applied to leases existing as of, or entered into after, September 1, 2019; and, consequently, financial information will not be updated and the disclosures required under Topic 842 will not be provided for dates and periods prior to September 1, 2019. The Company has reviewed its existing lease contracts and the impact of the new leasing standards on its consolidated results of operations, financial position and disclosures. Upon adoption of the new leasing standards, the Company recognized a lease liability and related right-of-use asset on our consolidated balance sheet of approximately $600,000.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Income Statement – 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from Accumulated Other Comprehensive Income</w:t>
      </w:r>
      <w:r>
        <w:rPr>
          <w:rFonts w:ascii="Arial" w:cs="Arial" w:eastAsia="Arial" w:hAnsi="Arial"/>
          <w:sz w:val="17"/>
          <w:szCs w:val="17"/>
          <w:color w:val="auto"/>
        </w:rPr>
        <w:t>, which will allow a reclassification from accumulated other comprehensive income to retained</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for the tax effects resulting from the Tax Cuts and Jobs Act (Tax Reform Act) that are stranded in accumulated other comprehensive income. This standard also requires certain disclosures about stranded tax effects. ASU No. 2018-02, however, does not change the underlying guidance that requires that the effect of a change in tax laws or rates be included in income from continuing operations. ASU No. 2018-02 will become effective for the Company’s fiscal year 2020, with the option for early adoption at any time prior to the effective date. It must be applied either in the period of adoption or retrospectively to each period in which the effect of the change in the U.S. federal corporate income tax rate in the Tax Reform Act is recognized. The Company is currently assessing the impact this new accounting guidance will have on its consolidated financial statements.</w:t>
      </w:r>
    </w:p>
    <w:p>
      <w:pPr>
        <w:spacing w:after="0" w:line="17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3.</w:t>
            </w:r>
          </w:p>
        </w:tc>
        <w:tc>
          <w:tcPr>
            <w:tcW w:w="3780" w:type="dxa"/>
            <w:vAlign w:val="bottom"/>
          </w:tcPr>
          <w:p>
            <w:pPr>
              <w:ind w:left="140"/>
              <w:spacing w:after="0"/>
              <w:rPr>
                <w:sz w:val="20"/>
                <w:szCs w:val="20"/>
                <w:color w:val="auto"/>
              </w:rPr>
            </w:pPr>
            <w:r>
              <w:rPr>
                <w:rFonts w:ascii="Arial" w:cs="Arial" w:eastAsia="Arial" w:hAnsi="Arial"/>
                <w:sz w:val="18"/>
                <w:szCs w:val="18"/>
                <w:b w:val="1"/>
                <w:bCs w:val="1"/>
                <w:color w:val="auto"/>
              </w:rPr>
              <w:t>INVENTORIES</w:t>
            </w:r>
          </w:p>
        </w:tc>
        <w:tc>
          <w:tcPr>
            <w:tcW w:w="2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494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46"/>
        </w:trPr>
        <w:tc>
          <w:tcPr>
            <w:tcW w:w="1160" w:type="dxa"/>
            <w:vAlign w:val="bottom"/>
          </w:tcPr>
          <w:p>
            <w:pPr>
              <w:spacing w:after="0"/>
              <w:rPr>
                <w:sz w:val="24"/>
                <w:szCs w:val="24"/>
                <w:color w:val="auto"/>
              </w:rPr>
            </w:pPr>
          </w:p>
        </w:tc>
        <w:tc>
          <w:tcPr>
            <w:tcW w:w="378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November 30, 2019</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August 31, 2019</w:t>
            </w:r>
          </w:p>
        </w:tc>
      </w:tr>
      <w:tr>
        <w:trPr>
          <w:trHeight w:val="210"/>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3,562,440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1,980,816</w:t>
            </w:r>
          </w:p>
        </w:tc>
      </w:tr>
      <w:tr>
        <w:trPr>
          <w:trHeight w:val="230"/>
        </w:trPr>
        <w:tc>
          <w:tcPr>
            <w:tcW w:w="1160" w:type="dxa"/>
            <w:vAlign w:val="bottom"/>
          </w:tcPr>
          <w:p>
            <w:pPr>
              <w:spacing w:after="0"/>
              <w:rPr>
                <w:sz w:val="19"/>
                <w:szCs w:val="19"/>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7,697,009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8,507,912</w:t>
            </w:r>
          </w:p>
        </w:tc>
      </w:tr>
      <w:tr>
        <w:trPr>
          <w:trHeight w:val="223"/>
        </w:trPr>
        <w:tc>
          <w:tcPr>
            <w:tcW w:w="116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11,259,449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10,488,728</w:t>
            </w:r>
          </w:p>
        </w:tc>
      </w:tr>
      <w:tr>
        <w:trPr>
          <w:trHeight w:val="20"/>
        </w:trPr>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300" w:hanging="1292"/>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3680" w:type="dxa"/>
            <w:vAlign w:val="bottom"/>
            <w:tcBorders>
              <w:bottom w:val="single" w:sz="8" w:color="CCEEFF"/>
            </w:tcBorders>
          </w:tcPr>
          <w:p>
            <w:pPr>
              <w:spacing w:after="0"/>
              <w:rPr>
                <w:sz w:val="24"/>
                <w:szCs w:val="24"/>
                <w:color w:val="auto"/>
              </w:rPr>
            </w:pPr>
          </w:p>
        </w:tc>
        <w:tc>
          <w:tcPr>
            <w:tcW w:w="226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November 30, 2019</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August 31, 2019</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7,918,298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7,749,980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4,934,568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4,903,664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13,163,231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12,964,009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(5,816,754)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(5,605,850)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80" w:type="dxa"/>
            <w:vAlign w:val="bottom"/>
            <w:tcBorders>
              <w:bottom w:val="single" w:sz="8" w:color="auto"/>
            </w:tcBorders>
          </w:tcPr>
          <w:p>
            <w:pPr>
              <w:jc w:val="right"/>
              <w:ind w:right="220"/>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7,346,477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7,358,159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60" w:type="dxa"/>
            <w:vAlign w:val="bottom"/>
            <w:vMerge w:val="restart"/>
          </w:tcPr>
          <w:p>
            <w:pPr>
              <w:jc w:val="right"/>
              <w:ind w:right="1250"/>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160" w:type="dxa"/>
            <w:vAlign w:val="bottom"/>
            <w:shd w:val="clear" w:color="auto" w:fill="000000"/>
          </w:tcPr>
          <w:p>
            <w:pPr>
              <w:spacing w:after="0"/>
              <w:rPr>
                <w:sz w:val="5"/>
                <w:szCs w:val="5"/>
                <w:color w:val="auto"/>
              </w:rPr>
            </w:pPr>
          </w:p>
        </w:tc>
        <w:tc>
          <w:tcPr>
            <w:tcW w:w="3680" w:type="dxa"/>
            <w:vAlign w:val="bottom"/>
            <w:shd w:val="clear" w:color="auto" w:fill="000000"/>
          </w:tcPr>
          <w:p>
            <w:pPr>
              <w:spacing w:after="0"/>
              <w:rPr>
                <w:sz w:val="5"/>
                <w:szCs w:val="5"/>
                <w:color w:val="auto"/>
              </w:rPr>
            </w:pPr>
          </w:p>
        </w:tc>
        <w:tc>
          <w:tcPr>
            <w:tcW w:w="226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0" w:name="page11"/>
    <w:bookmarkEnd w:id="10"/>
    <w:p>
      <w:pPr>
        <w:ind w:left="1300" w:hanging="1292"/>
        <w:spacing w:after="0"/>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PATENTS AND TRADEMARKS, NET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1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6"/>
        </w:trPr>
        <w:tc>
          <w:tcPr>
            <w:tcW w:w="1160" w:type="dxa"/>
            <w:vAlign w:val="bottom"/>
          </w:tcPr>
          <w:p>
            <w:pPr>
              <w:spacing w:after="0"/>
              <w:rPr>
                <w:sz w:val="24"/>
                <w:szCs w:val="24"/>
                <w:color w:val="auto"/>
              </w:rPr>
            </w:pPr>
          </w:p>
        </w:tc>
        <w:tc>
          <w:tcPr>
            <w:tcW w:w="436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November 30, 2019</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August 31, 2019</w:t>
            </w:r>
          </w:p>
        </w:tc>
      </w:tr>
      <w:tr>
        <w:trPr>
          <w:trHeight w:val="210"/>
        </w:trPr>
        <w:tc>
          <w:tcPr>
            <w:tcW w:w="11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15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2,960,942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2,938,876</w:t>
            </w:r>
          </w:p>
        </w:tc>
      </w:tr>
      <w:tr>
        <w:trPr>
          <w:trHeight w:val="230"/>
        </w:trPr>
        <w:tc>
          <w:tcPr>
            <w:tcW w:w="1160" w:type="dxa"/>
            <w:vAlign w:val="bottom"/>
          </w:tcPr>
          <w:p>
            <w:pPr>
              <w:spacing w:after="0"/>
              <w:rPr>
                <w:sz w:val="19"/>
                <w:szCs w:val="19"/>
                <w:color w:val="auto"/>
              </w:rPr>
            </w:pPr>
          </w:p>
        </w:tc>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15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(1,988,428)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(1,929,907)</w:t>
            </w:r>
          </w:p>
        </w:tc>
      </w:tr>
      <w:tr>
        <w:trPr>
          <w:trHeight w:val="223"/>
        </w:trPr>
        <w:tc>
          <w:tcPr>
            <w:tcW w:w="1160" w:type="dxa"/>
            <w:vAlign w:val="bottom"/>
          </w:tcPr>
          <w:p>
            <w:pPr>
              <w:spacing w:after="0"/>
              <w:rPr>
                <w:sz w:val="19"/>
                <w:szCs w:val="19"/>
                <w:color w:val="auto"/>
              </w:rPr>
            </w:pPr>
          </w:p>
        </w:tc>
        <w:tc>
          <w:tcPr>
            <w:tcW w:w="43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972,514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1,008,969</w:t>
            </w:r>
          </w:p>
        </w:tc>
      </w:tr>
      <w:tr>
        <w:trPr>
          <w:trHeight w:val="20"/>
        </w:trPr>
        <w:tc>
          <w:tcPr>
            <w:tcW w:w="1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be $200,000 in each of the next five fiscal years.</w:t>
      </w:r>
    </w:p>
    <w:p>
      <w:pPr>
        <w:spacing w:after="0" w:line="177" w:lineRule="exact"/>
        <w:rPr>
          <w:sz w:val="20"/>
          <w:szCs w:val="20"/>
          <w:color w:val="auto"/>
        </w:rPr>
      </w:pPr>
    </w:p>
    <w:p>
      <w:pPr>
        <w:ind w:left="1300" w:hanging="1292"/>
        <w:spacing w:after="0"/>
        <w:tabs>
          <w:tab w:leader="none" w:pos="1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recorded that remain on the consolidated balance sheet of sales from the Company to its joint ventures and from joint ventures to other joint ventures have been eliminated for financial reporting purposes.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and all the Company’s other joint ventures, are summarized as follows: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As of November 30, 2019</w:t>
            </w:r>
          </w:p>
        </w:tc>
        <w:tc>
          <w:tcPr>
            <w:tcW w:w="1200" w:type="dxa"/>
            <w:vAlign w:val="bottom"/>
            <w:tcBorders>
              <w:bottom w:val="single" w:sz="8" w:color="auto"/>
            </w:tcBorders>
          </w:tcPr>
          <w:p>
            <w:pPr>
              <w:spacing w:after="0"/>
              <w:rPr>
                <w:sz w:val="20"/>
                <w:szCs w:val="20"/>
                <w:color w:val="auto"/>
              </w:rPr>
            </w:pPr>
          </w:p>
        </w:tc>
      </w:tr>
      <w:tr>
        <w:trPr>
          <w:trHeight w:val="210"/>
        </w:trPr>
        <w:tc>
          <w:tcPr>
            <w:tcW w:w="55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EXCOR</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62,227,465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31,696,156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30,531,309</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66,157,582</w:t>
            </w:r>
          </w:p>
        </w:tc>
        <w:tc>
          <w:tcPr>
            <w:tcW w:w="3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33,959,879</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32,197,703</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14,585,105</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4,166,716</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10,418,389</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20,886</w:t>
            </w:r>
          </w:p>
        </w:tc>
        <w:tc>
          <w:tcPr>
            <w:tcW w:w="3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20,886</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51,551,596</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29,793,164</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21,758,432</w:t>
            </w:r>
          </w:p>
        </w:tc>
      </w:tr>
      <w:tr>
        <w:trPr>
          <w:trHeight w:val="202"/>
        </w:trPr>
        <w:tc>
          <w:tcPr>
            <w:tcW w:w="5560" w:type="dxa"/>
            <w:vAlign w:val="bottom"/>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joint ventures’</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25,402,933</w:t>
            </w:r>
          </w:p>
        </w:tc>
        <w:tc>
          <w:tcPr>
            <w:tcW w:w="3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14,896,584</w:t>
            </w:r>
          </w:p>
        </w:tc>
        <w:tc>
          <w:tcPr>
            <w:tcW w:w="3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10,506,349</w:t>
            </w:r>
          </w:p>
        </w:tc>
      </w:tr>
      <w:tr>
        <w:trPr>
          <w:trHeight w:val="202"/>
        </w:trPr>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joint ventures’</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23,373,721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14,865,679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8,508,042</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Three Months Ended November 30, 2019</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56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EXCOR</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All Other</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25,460,294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9,368,239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16,092,055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11,357,134</w:t>
            </w:r>
          </w:p>
        </w:tc>
        <w:tc>
          <w:tcPr>
            <w:tcW w:w="3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5,325,488</w:t>
            </w:r>
          </w:p>
        </w:tc>
        <w:tc>
          <w:tcPr>
            <w:tcW w:w="3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6,031,646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2,587,980</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1,642,327</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945,653</w:t>
            </w:r>
          </w:p>
        </w:tc>
        <w:tc>
          <w:tcPr>
            <w:tcW w:w="560" w:type="dxa"/>
            <w:vAlign w:val="bottom"/>
          </w:tcPr>
          <w:p>
            <w:pPr>
              <w:spacing w:after="0"/>
              <w:rPr>
                <w:sz w:val="18"/>
                <w:szCs w:val="18"/>
                <w:color w:val="auto"/>
              </w:rPr>
            </w:pPr>
          </w:p>
        </w:tc>
      </w:tr>
      <w:tr>
        <w:trPr>
          <w:trHeight w:val="202"/>
        </w:trPr>
        <w:tc>
          <w:tcPr>
            <w:tcW w:w="580" w:type="dxa"/>
            <w:vAlign w:val="bottom"/>
          </w:tcPr>
          <w:p>
            <w:pPr>
              <w:spacing w:after="0"/>
              <w:rPr>
                <w:sz w:val="17"/>
                <w:szCs w:val="17"/>
                <w:color w:val="auto"/>
              </w:rPr>
            </w:pPr>
          </w:p>
        </w:tc>
        <w:tc>
          <w:tcPr>
            <w:tcW w:w="5640" w:type="dxa"/>
            <w:vAlign w:val="bottom"/>
          </w:tcPr>
          <w:p>
            <w:pPr>
              <w:spacing w:after="0" w:line="201" w:lineRule="exact"/>
              <w:rPr>
                <w:sz w:val="20"/>
                <w:szCs w:val="20"/>
                <w:color w:val="auto"/>
              </w:rPr>
            </w:pPr>
            <w:r>
              <w:rPr>
                <w:rFonts w:ascii="Arial" w:cs="Arial" w:eastAsia="Arial" w:hAnsi="Arial"/>
                <w:sz w:val="18"/>
                <w:szCs w:val="18"/>
                <w:color w:val="auto"/>
                <w:w w:val="93"/>
              </w:rPr>
              <w:t>Northern Technologies International Corporation’s share of equity in income</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from joint ventures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1,293,991</w:t>
            </w:r>
          </w:p>
        </w:tc>
        <w:tc>
          <w:tcPr>
            <w:tcW w:w="3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821,164</w:t>
            </w:r>
          </w:p>
        </w:tc>
        <w:tc>
          <w:tcPr>
            <w:tcW w:w="3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472,827</w:t>
            </w:r>
          </w:p>
        </w:tc>
        <w:tc>
          <w:tcPr>
            <w:tcW w:w="560" w:type="dxa"/>
            <w:vAlign w:val="bottom"/>
          </w:tcPr>
          <w:p>
            <w:pPr>
              <w:spacing w:after="0"/>
              <w:rPr>
                <w:sz w:val="20"/>
                <w:szCs w:val="20"/>
                <w:color w:val="auto"/>
              </w:rPr>
            </w:pPr>
          </w:p>
        </w:tc>
      </w:tr>
      <w:tr>
        <w:trPr>
          <w:trHeight w:val="202"/>
        </w:trPr>
        <w:tc>
          <w:tcPr>
            <w:tcW w:w="580" w:type="dxa"/>
            <w:vAlign w:val="bottom"/>
          </w:tcPr>
          <w:p>
            <w:pPr>
              <w:spacing w:after="0"/>
              <w:rPr>
                <w:sz w:val="17"/>
                <w:szCs w:val="17"/>
                <w:color w:val="auto"/>
              </w:rPr>
            </w:pPr>
          </w:p>
        </w:tc>
        <w:tc>
          <w:tcPr>
            <w:tcW w:w="5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dividends received from</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joint ventures</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205,431</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205,431</w:t>
            </w:r>
          </w:p>
        </w:tc>
        <w:tc>
          <w:tcPr>
            <w:tcW w:w="560" w:type="dxa"/>
            <w:vAlign w:val="bottom"/>
          </w:tcPr>
          <w:p>
            <w:pPr>
              <w:spacing w:after="0"/>
              <w:rPr>
                <w:sz w:val="20"/>
                <w:szCs w:val="20"/>
                <w:color w:val="auto"/>
              </w:rPr>
            </w:pPr>
          </w:p>
        </w:tc>
      </w:tr>
      <w:tr>
        <w:trPr>
          <w:trHeight w:val="540"/>
        </w:trPr>
        <w:tc>
          <w:tcPr>
            <w:tcW w:w="6220" w:type="dxa"/>
            <w:vAlign w:val="bottom"/>
            <w:gridSpan w:val="2"/>
          </w:tcPr>
          <w:p>
            <w:pPr>
              <w:jc w:val="right"/>
              <w:ind w:right="37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68"/>
        </w:trPr>
        <w:tc>
          <w:tcPr>
            <w:tcW w:w="580" w:type="dxa"/>
            <w:vAlign w:val="bottom"/>
            <w:shd w:val="clear" w:color="auto" w:fill="000000"/>
          </w:tcPr>
          <w:p>
            <w:pPr>
              <w:spacing w:after="0"/>
              <w:rPr>
                <w:sz w:val="5"/>
                <w:szCs w:val="5"/>
                <w:color w:val="auto"/>
              </w:rPr>
            </w:pPr>
          </w:p>
        </w:tc>
        <w:tc>
          <w:tcPr>
            <w:tcW w:w="56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337" w:right="239" w:bottom="1440" w:gutter="0" w:footer="0" w:header="0"/>
        </w:sectPr>
      </w:pPr>
    </w:p>
    <w:bookmarkStart w:id="11" w:name="page12"/>
    <w:bookmarkEnd w:id="11"/>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As of August 31, 2019</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10"/>
        </w:trPr>
        <w:tc>
          <w:tcPr>
            <w:tcW w:w="57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EXCOR</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59,162,834</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29,139,787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30,023,047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63,326,703</w:t>
            </w:r>
          </w:p>
        </w:tc>
        <w:tc>
          <w:tcPr>
            <w:tcW w:w="42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31,666,841</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31,659,862</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14,145,499</w:t>
            </w: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3,573,160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10,572,339</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20,797</w:t>
            </w:r>
          </w:p>
        </w:tc>
        <w:tc>
          <w:tcPr>
            <w:tcW w:w="42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20,797</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49,160,407</w:t>
            </w: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28,093,681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21,066,726</w:t>
            </w:r>
          </w:p>
        </w:tc>
      </w:tr>
      <w:tr>
        <w:trPr>
          <w:trHeight w:val="202"/>
        </w:trPr>
        <w:tc>
          <w:tcPr>
            <w:tcW w:w="5780" w:type="dxa"/>
            <w:vAlign w:val="bottom"/>
          </w:tcPr>
          <w:p>
            <w:pPr>
              <w:spacing w:after="0" w:line="201" w:lineRule="exact"/>
              <w:rPr>
                <w:sz w:val="20"/>
                <w:szCs w:val="20"/>
                <w:color w:val="auto"/>
              </w:rPr>
            </w:pPr>
            <w:r>
              <w:rPr>
                <w:rFonts w:ascii="Arial" w:cs="Arial" w:eastAsia="Arial" w:hAnsi="Arial"/>
                <w:sz w:val="18"/>
                <w:szCs w:val="18"/>
                <w:color w:val="auto"/>
                <w:w w:val="98"/>
              </w:rPr>
              <w:t>Northern Technologies International Corporation’s share of joint ventures’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24,207,339</w:t>
            </w:r>
          </w:p>
        </w:tc>
        <w:tc>
          <w:tcPr>
            <w:tcW w:w="42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14,046,842</w:t>
            </w:r>
          </w:p>
        </w:tc>
        <w:tc>
          <w:tcPr>
            <w:tcW w:w="2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10,160,497</w:t>
            </w:r>
          </w:p>
        </w:tc>
      </w:tr>
      <w:tr>
        <w:trPr>
          <w:trHeight w:val="202"/>
        </w:trPr>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Northern Technologies International Corporation’s share of joint ventures’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22,178,126</w:t>
            </w:r>
          </w:p>
        </w:tc>
        <w:tc>
          <w:tcPr>
            <w:tcW w:w="4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14,015,937</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8,162,189</w:t>
            </w:r>
          </w:p>
        </w:tc>
      </w:tr>
    </w:tbl>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Three Months Ended November 30, 2018</w:t>
            </w:r>
          </w:p>
        </w:tc>
      </w:tr>
      <w:tr>
        <w:trPr>
          <w:trHeight w:val="210"/>
        </w:trPr>
        <w:tc>
          <w:tcPr>
            <w:tcW w:w="57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EXCOR</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30,479,926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12,869,523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17,610,403</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Gross profit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13,356,891</w:t>
            </w:r>
          </w:p>
        </w:tc>
        <w:tc>
          <w:tcPr>
            <w:tcW w:w="3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6,683,574</w:t>
            </w:r>
          </w:p>
        </w:tc>
        <w:tc>
          <w:tcPr>
            <w:tcW w:w="3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6,673,317</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4,163,791</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3,039,802</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1,123,989</w:t>
            </w:r>
          </w:p>
        </w:tc>
      </w:tr>
      <w:tr>
        <w:trPr>
          <w:trHeight w:val="202"/>
        </w:trPr>
        <w:tc>
          <w:tcPr>
            <w:tcW w:w="5720" w:type="dxa"/>
            <w:vAlign w:val="bottom"/>
          </w:tcPr>
          <w:p>
            <w:pPr>
              <w:spacing w:after="0" w:line="201" w:lineRule="exact"/>
              <w:rPr>
                <w:sz w:val="20"/>
                <w:szCs w:val="20"/>
                <w:color w:val="auto"/>
              </w:rPr>
            </w:pPr>
            <w:r>
              <w:rPr>
                <w:rFonts w:ascii="Arial" w:cs="Arial" w:eastAsia="Arial" w:hAnsi="Arial"/>
                <w:sz w:val="18"/>
                <w:szCs w:val="18"/>
                <w:color w:val="auto"/>
                <w:w w:val="94"/>
              </w:rPr>
              <w:t>Northern Technologies International Corporation’s share of equity in income</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8"/>
                <w:szCs w:val="18"/>
                <w:color w:val="auto"/>
              </w:rPr>
              <w:t>from joint ventures</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2,004,162</w:t>
            </w:r>
          </w:p>
        </w:tc>
        <w:tc>
          <w:tcPr>
            <w:tcW w:w="3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1,519,901</w:t>
            </w:r>
          </w:p>
        </w:tc>
        <w:tc>
          <w:tcPr>
            <w:tcW w:w="3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484,261</w:t>
            </w:r>
          </w:p>
        </w:tc>
      </w:tr>
      <w:tr>
        <w:trPr>
          <w:trHeight w:val="202"/>
        </w:trPr>
        <w:tc>
          <w:tcPr>
            <w:tcW w:w="5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dividends received from</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joint ventures</w:t>
            </w:r>
          </w:p>
        </w:tc>
        <w:tc>
          <w:tcPr>
            <w:tcW w:w="3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1,486,705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843,750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642,955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the three months ended November 30, 2019 or 2018.</w:t>
      </w:r>
    </w:p>
    <w:p>
      <w:pPr>
        <w:spacing w:after="0" w:line="221" w:lineRule="exact"/>
        <w:rPr>
          <w:sz w:val="20"/>
          <w:szCs w:val="20"/>
          <w:color w:val="auto"/>
        </w:rPr>
      </w:pPr>
    </w:p>
    <w:p>
      <w:pPr>
        <w:ind w:left="1300" w:hanging="1292"/>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a revolving line of credit with PNC Bank, National Association (PNC Bank) of $3,000,000. No amounts were outstanding under the line of credit as of both November 30, 2019 and August 31, 2019. At the option of the Company, outstanding advances under the line of credit bear interest at either</w:t>
      </w:r>
    </w:p>
    <w:p>
      <w:pPr>
        <w:ind w:right="300" w:firstLine="8"/>
        <w:spacing w:after="0" w:line="261" w:lineRule="auto"/>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rate based on LIBOR plus 2.15% for the applicable LIBOR interest period selected by the Company or (b) at the rate publicly announced by PNC Bank from time to time as its prime rate.</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November 30, 2019, the Company was in compliance with all debt covenants.</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revolving credit facility allows the Company to request that PNC Bank issue letters of credit up to $1,200,000. The Company did not have any letters of credit reserved against the available letters of credit balance as of November 30, 2019 and August 31, 2019 with PNC Bank. The availability of advances under the line of credit are reduced by the face amount of any letter of credit issued and outstanding (whether or not drawn) under the revolving credit facility.</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16, 2019, the Company and PNC Bank extended the maturity date of the line of credit from January 7, 2020 to January 7, 2021. All other terms of the line of credit and the loan agreement and other documents evidencing the line of credit remain the same.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November 30, 2019 and August 31, 2019, the Company had $88,831 of letters of credit with JP Morgan Chase Bank that are performance based and set to expire between 2020 and 2022.</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12" w:name="page13"/>
    <w:bookmarkEnd w:id="12"/>
    <w:p>
      <w:pPr>
        <w:ind w:left="1300" w:hanging="1292"/>
        <w:spacing w:after="0"/>
        <w:tabs>
          <w:tab w:leader="none" w:pos="1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June 3, 2019, the Company’s Board of Directors declared a two-for-one stock split of the Company’s common stock effected in the form of a 100% share dividend distributed on June 28, 2019 to record holders as of June 17, 2019. All share and per share values have been adjusted to retroactively reflect the effect of the two-for-one stock split.</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October 22, 2019, the Company’s Board of Directors declared a cash dividend of $0.065 per share of NTIC’s common stock, payable on November 20, 2019 to stockholders of record on November 6, 2019. On October 24, 2018, the Company’s Board of Directors declared a cash dividend of $0.06 per share of NTIC’s common stock, payable on November 21, 2018 to stockholders of record on November 7,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November 30, 2019 and 2018, the Company repurchased no shares of its common stock.</w:t>
      </w:r>
    </w:p>
    <w:p>
      <w:pPr>
        <w:spacing w:after="0" w:line="225"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During the three months ended November 30, 2019, the Company granted stock options under the Northern Technologies International Corporation 2019 Stock Incentive Plan (the 2019 Plan) to purchase an aggregate of 300,770 shares of its common stock to various employees and directors. The weighted average per share exercise price of the stock options is $10.80. The exercise price of the stock options is equal to the fair market value of the Company’s common stock on the date of grant. During the three months ended November 30, 2019, no stock options to purchase common stock were exercised.</w:t>
      </w:r>
    </w:p>
    <w:p>
      <w:pPr>
        <w:spacing w:after="0" w:line="15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three months ended November 30, 2018, the Company granted stock options under the Northern Technologies International Corporation Amended and Restated 2007 Stock Incentive Plan (the 2007 Plan) to purchase an aggregate of 141,768 shares of its common stock to various employees and directors. The weighted average per share exercise price of the stock options is $18.23, which was equal to the fair market value of the Company’s common stock on the date of grant. During the three months ended November 30, 2018, no stock options to purchase common stock were exercised.</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issued 3,597 and 1,748 shares of common stock on September 1, 2019 and 2018, respectively, under the Northern Technologies International Corporation Employee Stock Purchase Plan (the ESPP).</w:t>
      </w:r>
    </w:p>
    <w:p>
      <w:pPr>
        <w:spacing w:after="0" w:line="166" w:lineRule="exact"/>
        <w:rPr>
          <w:sz w:val="20"/>
          <w:szCs w:val="20"/>
          <w:color w:val="auto"/>
        </w:rPr>
      </w:pPr>
    </w:p>
    <w:p>
      <w:pPr>
        <w:ind w:left="1300" w:hanging="1292"/>
        <w:spacing w:after="0"/>
        <w:tabs>
          <w:tab w:leader="none" w:pos="1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net income per share computation for the three months ended November 30, 2019 and 2018:</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November 30, 2019</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November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income attributable to NTIC</w:t>
            </w:r>
          </w:p>
        </w:tc>
        <w:tc>
          <w:tcPr>
            <w:tcW w:w="1360" w:type="dxa"/>
            <w:vAlign w:val="bottom"/>
            <w:gridSpan w:val="2"/>
          </w:tcPr>
          <w:p>
            <w:pPr>
              <w:jc w:val="right"/>
              <w:ind w:right="25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1,212,550</w:t>
            </w:r>
          </w:p>
        </w:tc>
        <w:tc>
          <w:tcPr>
            <w:tcW w:w="500" w:type="dxa"/>
            <w:vAlign w:val="bottom"/>
            <w:gridSpan w:val="2"/>
          </w:tcPr>
          <w:p>
            <w:pPr>
              <w:jc w:val="right"/>
              <w:ind w:right="25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1,497,059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Basic – weighted shares outstanding</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9,095,607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9,084,350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9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312,035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Diluted – weighted shares outstanding</w:t>
            </w:r>
          </w:p>
        </w:tc>
        <w:tc>
          <w:tcPr>
            <w:tcW w:w="9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9,407,642</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9,478,576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940" w:type="dxa"/>
            <w:vAlign w:val="bottom"/>
          </w:tcPr>
          <w:p>
            <w:pPr>
              <w:spacing w:after="0"/>
              <w:rPr>
                <w:sz w:val="18"/>
                <w:szCs w:val="18"/>
                <w:color w:val="auto"/>
              </w:rPr>
            </w:pPr>
          </w:p>
        </w:tc>
        <w:tc>
          <w:tcPr>
            <w:tcW w:w="420" w:type="dxa"/>
            <w:vAlign w:val="bottom"/>
          </w:tcPr>
          <w:p>
            <w:pPr>
              <w:jc w:val="right"/>
              <w:ind w:right="25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c>
          <w:tcPr>
            <w:tcW w:w="420" w:type="dxa"/>
            <w:vAlign w:val="bottom"/>
          </w:tcPr>
          <w:p>
            <w:pPr>
              <w:jc w:val="right"/>
              <w:ind w:right="25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36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50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 and per share data have been adjusted for all periods presented to reflect the two-for-one stock split effective June 28, 2019.</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3" w:name="page14"/>
    <w:bookmarkEnd w:id="13"/>
    <w:p>
      <w:pPr>
        <w:ind w:right="180"/>
        <w:spacing w:after="0" w:line="293" w:lineRule="auto"/>
        <w:rPr>
          <w:sz w:val="20"/>
          <w:szCs w:val="20"/>
          <w:color w:val="auto"/>
        </w:rPr>
      </w:pPr>
      <w:r>
        <w:rPr>
          <w:rFonts w:ascii="Arial" w:cs="Arial" w:eastAsia="Arial" w:hAnsi="Arial"/>
          <w:sz w:val="16"/>
          <w:szCs w:val="16"/>
          <w:color w:val="auto"/>
        </w:rPr>
        <w:t>The dilutive impact summarized above relates to the periods when the average market price of the Company’s common stock exceeded the exercise price of the potentially dilutive option securities granted. Net income per common share is based on the weighted average number of common shares outstanding during the periods when computing basic net income per share. When dilutive, stock options are included as equivalents using the treasury stock market method when computing the diluted net income per share. Excluded from the computation of diluted net income per share for the three months ended November 30, 2019 were options outstanding to purchase 141,768 shares of common stock. Excluded from the computation of diluted net income per share for the three months ended November 30, 2018 were options outstanding to purchase 141,768 shares of common stock.</w:t>
      </w:r>
    </w:p>
    <w:p>
      <w:pPr>
        <w:spacing w:after="0" w:line="161" w:lineRule="exact"/>
        <w:rPr>
          <w:sz w:val="20"/>
          <w:szCs w:val="20"/>
          <w:color w:val="auto"/>
        </w:rPr>
      </w:pPr>
    </w:p>
    <w:p>
      <w:pPr>
        <w:ind w:left="1300" w:hanging="1292"/>
        <w:spacing w:after="0"/>
        <w:tabs>
          <w:tab w:leader="none" w:pos="13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has three stock-based compensation plans under which stock options or other stock-based awards have been granted: the Northern Technologies International Corporation 2019 Stock Incentive Plan (the 2019 Plan), which was approved by stockholders at the 2019 annual meeting of stockholders, the Northern Technologies International Corporation Amended and Restated 2007 Stock Incentive Plan (the 2007 Plan) and the Northern Technologies International Corporation Employee Stock Purchase Plan (the ESPP). The 2019 Plan replaced the 2007 Plan with respect to future grants; and, therefore, no further awards may be made under the 2007 Plan. The Compensation Committee of the Board of Directors and the Board of Directors administer these plans.</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2019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2019 Plan, up to a maximum of 800,000 shares of the Company’s common stock are issuable under the 2019 Plan. Options granted generally have a term of ten years and become exercisable over a one- or three- year period beginning on the one-year anniversary of the date of grant. Options are granted at per share exercise prices equal to the market value of the Company’s common stock on the date of grant. The Company issues new shares upon the exercise of options. As of November 30, 2019, options to purchase an aggregate of 300,770 shares of the Company’s common stock had been granted under the 2019 Plan.</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maximum number of shares of common stock of the Company available for issuance under the ESPP is 200,000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 As of November 30, 2019, 87,447 shares of common stock remained available for sale under the ESPP.</w:t>
      </w:r>
    </w:p>
    <w:p>
      <w:pPr>
        <w:spacing w:after="0" w:line="17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granted options to purchase an aggregate of 300,770 and 141,768 shares of its common stock during the three months ended November 30, 2019 and 2018, respectively. The fair value of option grants is determined at date of grant using the Black-Scholes option pricing model with the assumptions listed below. The Company recognized compensation expense of $318,818 and $357,980 during the three months ended November 30, 2019 and 2018, respectively, related to the options that vested during such time period. As of November 30, 2019, the total compensation cost for non-vested options not yet recognized in the Company’s consolidated statements of operations was $1,018,956. Stock-based compensation expense of $1,018,956 is expected through the remainder of fiscal year 2020, and $20,834 is expected to be recognized during fiscal 2021, based on outstanding options as of November 30, 2019. Future option grants will impact the compensation expense recognized. Stock-based compensation expense is included in general and administrative expense on the consolidated statements of operations.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ind w:right="4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 pricing model with the following assumptions and results for the grants: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24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November 30,</w:t>
            </w:r>
          </w:p>
        </w:tc>
      </w:tr>
      <w:tr>
        <w:trPr>
          <w:trHeight w:val="223"/>
        </w:trPr>
        <w:tc>
          <w:tcPr>
            <w:tcW w:w="55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right"/>
              <w:spacing w:after="0"/>
              <w:rPr>
                <w:sz w:val="20"/>
                <w:szCs w:val="20"/>
                <w:color w:val="auto"/>
              </w:rPr>
            </w:pPr>
            <w:r>
              <w:rPr>
                <w:rFonts w:ascii="Arial" w:cs="Arial" w:eastAsia="Arial" w:hAnsi="Arial"/>
                <w:sz w:val="18"/>
                <w:szCs w:val="18"/>
                <w:color w:val="auto"/>
              </w:rPr>
              <w:t>45.1%</w:t>
            </w:r>
          </w:p>
        </w:tc>
        <w:tc>
          <w:tcPr>
            <w:tcW w:w="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(years)</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18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per share fair value of options granted during the three months ended November 30, 2019 and 2018 was $4.30 and $9.02,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contractual life of the options outstanding as of November 30, 2019 and 2018 was 6.78 years and 6.65 years, respectively.</w:t>
      </w:r>
    </w:p>
    <w:p>
      <w:pPr>
        <w:spacing w:after="0" w:line="230" w:lineRule="exact"/>
        <w:rPr>
          <w:sz w:val="20"/>
          <w:szCs w:val="20"/>
          <w:color w:val="auto"/>
        </w:rPr>
      </w:pPr>
    </w:p>
    <w:p>
      <w:pPr>
        <w:ind w:left="1300" w:hanging="1292"/>
        <w:spacing w:after="0"/>
        <w:tabs>
          <w:tab w:leader="none" w:pos="1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Company’s chief operating decision maker is its Chief Executive Officer. The Company’s business is organized into two reportable segments: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Natur-Tec</w:t>
      </w:r>
      <w:r>
        <w:rPr>
          <w:rFonts w:ascii="Arial" w:cs="Arial" w:eastAsia="Arial" w:hAnsi="Arial"/>
          <w:sz w:val="26"/>
          <w:szCs w:val="26"/>
          <w:color w:val="auto"/>
          <w:vertAlign w:val="superscript"/>
        </w:rPr>
        <w:t>®</w:t>
      </w:r>
      <w:r>
        <w:rPr>
          <w:rFonts w:ascii="Arial" w:cs="Arial" w:eastAsia="Arial" w:hAnsi="Arial"/>
          <w:sz w:val="16"/>
          <w:szCs w:val="16"/>
          <w:color w:val="auto"/>
        </w:rPr>
        <w:t>. The Company has been selling its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resins and finished products under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for the three months ended November 30, 2019 and 2018 by segment:</w:t>
      </w: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6"/>
          </w:tcPr>
          <w:p>
            <w:pPr>
              <w:ind w:left="36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5000" w:type="dxa"/>
            <w:vAlign w:val="bottom"/>
          </w:tcPr>
          <w:p>
            <w:pPr>
              <w:spacing w:after="0"/>
              <w:rPr>
                <w:sz w:val="19"/>
                <w:szCs w:val="19"/>
                <w:color w:val="auto"/>
              </w:rPr>
            </w:pPr>
          </w:p>
        </w:tc>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November 30, 2019</w:t>
            </w:r>
          </w:p>
        </w:tc>
        <w:tc>
          <w:tcPr>
            <w:tcW w:w="14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88"/>
              </w:rPr>
              <w:t>November 30, 2018</w:t>
            </w:r>
          </w:p>
        </w:tc>
        <w:tc>
          <w:tcPr>
            <w:tcW w:w="20" w:type="dxa"/>
            <w:vAlign w:val="bottom"/>
          </w:tcPr>
          <w:p>
            <w:pPr>
              <w:spacing w:after="0"/>
              <w:rPr>
                <w:sz w:val="19"/>
                <w:szCs w:val="19"/>
                <w:color w:val="auto"/>
              </w:rPr>
            </w:pPr>
          </w:p>
        </w:tc>
      </w:tr>
      <w:tr>
        <w:trPr>
          <w:trHeight w:val="237"/>
        </w:trPr>
        <w:tc>
          <w:tcPr>
            <w:tcW w:w="5000" w:type="dxa"/>
            <w:vAlign w:val="bottom"/>
            <w:tcBorders>
              <w:top w:val="single" w:sz="8" w:color="CCEEFF"/>
            </w:tcBorders>
            <w:shd w:val="clear" w:color="auto" w:fill="CCEEFF"/>
          </w:tcPr>
          <w:p>
            <w:pPr>
              <w:spacing w:after="0" w:line="236" w:lineRule="exact"/>
              <w:rPr>
                <w:sz w:val="20"/>
                <w:szCs w:val="20"/>
                <w:color w:val="auto"/>
              </w:rPr>
            </w:pPr>
            <w:r>
              <w:rPr>
                <w:rFonts w:ascii="Arial" w:cs="Arial" w:eastAsia="Arial" w:hAnsi="Arial"/>
                <w:sz w:val="17"/>
                <w:szCs w:val="17"/>
                <w:color w:val="auto"/>
              </w:rPr>
              <w:t>ZERUST</w:t>
            </w:r>
            <w:r>
              <w:rPr>
                <w:rFonts w:ascii="Arial" w:cs="Arial" w:eastAsia="Arial" w:hAnsi="Arial"/>
                <w:sz w:val="27"/>
                <w:szCs w:val="27"/>
                <w:color w:val="auto"/>
                <w:vertAlign w:val="superscript"/>
              </w:rPr>
              <w:t>®</w:t>
            </w:r>
            <w:r>
              <w:rPr>
                <w:rFonts w:ascii="Arial" w:cs="Arial" w:eastAsia="Arial" w:hAnsi="Arial"/>
                <w:sz w:val="17"/>
                <w:szCs w:val="17"/>
                <w:color w:val="auto"/>
              </w:rPr>
              <w:t xml:space="preserve"> net sales</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9,949,512</w:t>
            </w: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10,065,174</w:t>
            </w:r>
          </w:p>
        </w:tc>
        <w:tc>
          <w:tcPr>
            <w:tcW w:w="20" w:type="dxa"/>
            <w:vAlign w:val="bottom"/>
          </w:tcPr>
          <w:p>
            <w:pPr>
              <w:spacing w:after="0"/>
              <w:rPr>
                <w:sz w:val="20"/>
                <w:szCs w:val="20"/>
                <w:color w:val="auto"/>
              </w:rPr>
            </w:pPr>
          </w:p>
        </w:tc>
      </w:tr>
      <w:tr>
        <w:trPr>
          <w:trHeight w:val="270"/>
        </w:trPr>
        <w:tc>
          <w:tcPr>
            <w:tcW w:w="5000" w:type="dxa"/>
            <w:vAlign w:val="bottom"/>
            <w:tcBorders>
              <w:bottom w:val="single" w:sz="8" w:color="CCEEFF"/>
            </w:tcBorders>
          </w:tcPr>
          <w:p>
            <w:pPr>
              <w:spacing w:after="0" w:line="269" w:lineRule="exact"/>
              <w:rPr>
                <w:sz w:val="20"/>
                <w:szCs w:val="20"/>
                <w:color w:val="auto"/>
              </w:rPr>
            </w:pPr>
            <w:r>
              <w:rPr>
                <w:rFonts w:ascii="Arial" w:cs="Arial" w:eastAsia="Arial" w:hAnsi="Arial"/>
                <w:sz w:val="18"/>
                <w:szCs w:val="18"/>
                <w:color w:val="auto"/>
              </w:rPr>
              <w:t>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net sales</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4,681,888</w:t>
            </w:r>
          </w:p>
        </w:tc>
        <w:tc>
          <w:tcPr>
            <w:tcW w:w="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4,028,878</w:t>
            </w:r>
          </w:p>
        </w:tc>
        <w:tc>
          <w:tcPr>
            <w:tcW w:w="20" w:type="dxa"/>
            <w:vAlign w:val="bottom"/>
          </w:tcPr>
          <w:p>
            <w:pPr>
              <w:spacing w:after="0"/>
              <w:rPr>
                <w:sz w:val="23"/>
                <w:szCs w:val="23"/>
                <w:color w:val="auto"/>
              </w:rPr>
            </w:pPr>
          </w:p>
        </w:tc>
      </w:tr>
      <w:tr>
        <w:trPr>
          <w:trHeight w:val="223"/>
        </w:trPr>
        <w:tc>
          <w:tcPr>
            <w:tcW w:w="5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14,631,400</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14,094,052</w:t>
            </w:r>
          </w:p>
        </w:tc>
        <w:tc>
          <w:tcPr>
            <w:tcW w:w="2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goods sold for the three months ended November 30, 2019 and 2018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4"/>
              </w:rPr>
              <w:t>% of</w:t>
            </w:r>
          </w:p>
        </w:tc>
      </w:tr>
      <w:tr>
        <w:trPr>
          <w:trHeight w:val="216"/>
        </w:trPr>
        <w:tc>
          <w:tcPr>
            <w:tcW w:w="3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November 30,</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Product</w:t>
            </w:r>
          </w:p>
        </w:tc>
      </w:tr>
      <w:tr>
        <w:trPr>
          <w:trHeight w:val="234"/>
        </w:trPr>
        <w:tc>
          <w:tcPr>
            <w:tcW w:w="396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Sales*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Sales*</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goods sold</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ZERUST®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5,543,355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55.7%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5,621,700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55.9%</w:t>
            </w: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Natur-Tec®</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3,614,419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3,156,076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30"/>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Indirect cost of goods sold</w:t>
            </w: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647,311</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683,361</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NA</w:t>
            </w:r>
          </w:p>
        </w:tc>
      </w:tr>
      <w:tr>
        <w:trPr>
          <w:trHeight w:val="237"/>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cost of goods sold</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9,805,085</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9,461,137</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right="30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Geographic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for the three months ended November 30, 2019 and 2018 were as follows:</w:t>
      </w: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6"/>
          </w:tcPr>
          <w:p>
            <w:pPr>
              <w:ind w:left="36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5000" w:type="dxa"/>
            <w:vAlign w:val="bottom"/>
          </w:tcPr>
          <w:p>
            <w:pPr>
              <w:spacing w:after="0"/>
              <w:rPr>
                <w:sz w:val="19"/>
                <w:szCs w:val="19"/>
                <w:color w:val="auto"/>
              </w:rPr>
            </w:pPr>
          </w:p>
        </w:tc>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November 30, 2019</w:t>
            </w:r>
          </w:p>
        </w:tc>
        <w:tc>
          <w:tcPr>
            <w:tcW w:w="14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88"/>
              </w:rPr>
              <w:t>November 30, 2018</w:t>
            </w:r>
          </w:p>
        </w:tc>
        <w:tc>
          <w:tcPr>
            <w:tcW w:w="20" w:type="dxa"/>
            <w:vAlign w:val="bottom"/>
          </w:tcPr>
          <w:p>
            <w:pPr>
              <w:spacing w:after="0"/>
              <w:rPr>
                <w:sz w:val="19"/>
                <w:szCs w:val="19"/>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6,147,086</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6,923,934</w:t>
            </w:r>
          </w:p>
        </w:tc>
        <w:tc>
          <w:tcPr>
            <w:tcW w:w="2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Outside the U.S.A. to:</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5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Joint ventures in which the Company is a shareholder directly</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indirectly</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585,616</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483,187</w:t>
            </w:r>
          </w:p>
        </w:tc>
        <w:tc>
          <w:tcPr>
            <w:tcW w:w="20" w:type="dxa"/>
            <w:vAlign w:val="bottom"/>
          </w:tcPr>
          <w:p>
            <w:pPr>
              <w:spacing w:after="0"/>
              <w:rPr>
                <w:sz w:val="20"/>
                <w:szCs w:val="20"/>
                <w:color w:val="auto"/>
              </w:rPr>
            </w:pPr>
          </w:p>
        </w:tc>
      </w:tr>
      <w:tr>
        <w:trPr>
          <w:trHeight w:val="230"/>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Unaffiliated customers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7,898,698</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6,686,931</w:t>
            </w:r>
          </w:p>
        </w:tc>
        <w:tc>
          <w:tcPr>
            <w:tcW w:w="20" w:type="dxa"/>
            <w:vAlign w:val="bottom"/>
          </w:tcPr>
          <w:p>
            <w:pPr>
              <w:spacing w:after="0"/>
              <w:rPr>
                <w:sz w:val="19"/>
                <w:szCs w:val="19"/>
                <w:color w:val="auto"/>
              </w:rPr>
            </w:pPr>
          </w:p>
        </w:tc>
      </w:tr>
      <w:tr>
        <w:trPr>
          <w:trHeight w:val="223"/>
        </w:trPr>
        <w:tc>
          <w:tcPr>
            <w:tcW w:w="50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14,631,400</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14,094,052</w:t>
            </w:r>
          </w:p>
        </w:tc>
        <w:tc>
          <w:tcPr>
            <w:tcW w:w="2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months ended November 30, 2019 and 2018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for Services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 of Total Fees for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rPr>
              <w:t>November 30,</w:t>
            </w: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Provided to</w:t>
            </w:r>
          </w:p>
        </w:tc>
        <w:tc>
          <w:tcPr>
            <w:tcW w:w="100" w:type="dxa"/>
            <w:vAlign w:val="bottom"/>
          </w:tcPr>
          <w:p>
            <w:pPr>
              <w:spacing w:after="0"/>
              <w:rPr>
                <w:sz w:val="18"/>
                <w:szCs w:val="18"/>
                <w:color w:val="auto"/>
              </w:rPr>
            </w:pPr>
          </w:p>
        </w:tc>
        <w:tc>
          <w:tcPr>
            <w:tcW w:w="130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93"/>
              </w:rPr>
              <w:t>November 30,</w:t>
            </w:r>
          </w:p>
        </w:tc>
        <w:tc>
          <w:tcPr>
            <w:tcW w:w="15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Services Provided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9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Joint Ventures</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88"/>
              </w:rPr>
              <w:t>to Joint Ventures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212,101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214,992</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Poland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194,978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3"/>
          </w:tcPr>
          <w:p>
            <w:pPr>
              <w:jc w:val="right"/>
              <w:ind w:right="10"/>
              <w:spacing w:after="0"/>
              <w:rPr>
                <w:sz w:val="20"/>
                <w:szCs w:val="20"/>
                <w:color w:val="auto"/>
              </w:rPr>
            </w:pPr>
            <w:r>
              <w:rPr>
                <w:rFonts w:ascii="Arial" w:cs="Arial" w:eastAsia="Arial" w:hAnsi="Arial"/>
                <w:sz w:val="18"/>
                <w:szCs w:val="18"/>
                <w:color w:val="auto"/>
              </w:rPr>
              <w:t>181,844</w:t>
            </w:r>
          </w:p>
        </w:tc>
        <w:tc>
          <w:tcPr>
            <w:tcW w:w="1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163,929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169,800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Sweden</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109,506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3"/>
          </w:tcPr>
          <w:p>
            <w:pPr>
              <w:jc w:val="right"/>
              <w:ind w:right="10"/>
              <w:spacing w:after="0"/>
              <w:rPr>
                <w:sz w:val="20"/>
                <w:szCs w:val="20"/>
                <w:color w:val="auto"/>
              </w:rPr>
            </w:pPr>
            <w:r>
              <w:rPr>
                <w:rFonts w:ascii="Arial" w:cs="Arial" w:eastAsia="Arial" w:hAnsi="Arial"/>
                <w:sz w:val="18"/>
                <w:szCs w:val="18"/>
                <w:color w:val="auto"/>
              </w:rPr>
              <w:t>130,243</w:t>
            </w:r>
          </w:p>
        </w:tc>
        <w:tc>
          <w:tcPr>
            <w:tcW w:w="1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Thailand</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102,334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98,348</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France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93,631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86"/>
              </w:rPr>
              <w:t>110,062</w:t>
            </w:r>
          </w:p>
        </w:tc>
        <w:tc>
          <w:tcPr>
            <w:tcW w:w="1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Czech Republic</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89,692</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85,478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94,781</w:t>
            </w:r>
          </w:p>
        </w:tc>
        <w:tc>
          <w:tcPr>
            <w:tcW w:w="1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82,960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94,727</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South Korea</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76,032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86,467</w:t>
            </w:r>
          </w:p>
        </w:tc>
        <w:tc>
          <w:tcPr>
            <w:tcW w:w="1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Finland</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67,942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81,816</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80,420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75,663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1,358,325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9"/>
              </w:rPr>
              <w:t>1,428,435</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gridSpan w:val="2"/>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gridSpan w:val="5"/>
          </w:tcPr>
          <w:p>
            <w:pPr>
              <w:jc w:val="right"/>
              <w:ind w:right="60"/>
              <w:spacing w:after="0"/>
              <w:rPr>
                <w:sz w:val="20"/>
                <w:szCs w:val="20"/>
                <w:color w:val="auto"/>
              </w:rPr>
            </w:pPr>
            <w:r>
              <w:rPr>
                <w:rFonts w:ascii="Arial" w:cs="Arial" w:eastAsia="Arial" w:hAnsi="Arial"/>
                <w:sz w:val="18"/>
                <w:szCs w:val="18"/>
                <w:color w:val="auto"/>
                <w:w w:val="91"/>
              </w:rPr>
              <w:t>The geographical distribution of key financial statement data is as follows: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rPr>
              <w:t>At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At</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20" w:type="dxa"/>
            <w:vAlign w:val="bottom"/>
            <w:gridSpan w:val="10"/>
          </w:tcPr>
          <w:p>
            <w:pPr>
              <w:spacing w:after="0"/>
              <w:rPr>
                <w:sz w:val="20"/>
                <w:szCs w:val="20"/>
                <w:color w:val="auto"/>
              </w:rPr>
            </w:pPr>
            <w:r>
              <w:rPr>
                <w:rFonts w:ascii="Arial" w:cs="Arial" w:eastAsia="Arial" w:hAnsi="Arial"/>
                <w:sz w:val="18"/>
                <w:szCs w:val="18"/>
                <w:b w:val="1"/>
                <w:bCs w:val="1"/>
                <w:color w:val="auto"/>
              </w:rPr>
              <w:t>November 30, 2019 August 31, 2019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China</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310,821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337,162</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Brazil</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172,753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101,548</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14,791</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India</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57,916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61,748</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6,781,553</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6,842,910</w:t>
            </w: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6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7,346,478</w:t>
            </w:r>
          </w:p>
        </w:tc>
        <w:tc>
          <w:tcPr>
            <w:tcW w:w="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7,358,159</w:t>
            </w: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vMerge w:val="restart"/>
          </w:tcPr>
          <w:p>
            <w:pPr>
              <w:jc w:val="right"/>
              <w:ind w:right="6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8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296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6" w:name="page17"/>
    <w:bookmarkEnd w:id="16"/>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9"/>
              </w:rPr>
              <w:t>Three Months Ended</w:t>
            </w:r>
          </w:p>
        </w:tc>
      </w:tr>
      <w:tr>
        <w:trPr>
          <w:trHeight w:val="191"/>
        </w:trPr>
        <w:tc>
          <w:tcPr>
            <w:tcW w:w="5680" w:type="dxa"/>
            <w:vAlign w:val="bottom"/>
          </w:tcPr>
          <w:p>
            <w:pPr>
              <w:spacing w:after="0"/>
              <w:rPr>
                <w:sz w:val="16"/>
                <w:szCs w:val="16"/>
                <w:color w:val="auto"/>
              </w:rPr>
            </w:pPr>
          </w:p>
        </w:tc>
        <w:tc>
          <w:tcPr>
            <w:tcW w:w="120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8"/>
              </w:rPr>
              <w:t>November 30,</w:t>
            </w:r>
          </w:p>
        </w:tc>
        <w:tc>
          <w:tcPr>
            <w:tcW w:w="110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November 30,</w:t>
            </w:r>
          </w:p>
        </w:tc>
      </w:tr>
      <w:tr>
        <w:trPr>
          <w:trHeight w:val="234"/>
        </w:trPr>
        <w:tc>
          <w:tcPr>
            <w:tcW w:w="5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3,861,572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3,168,060</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Brazil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891,978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824,796</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2,036,210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1,651,641</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Germany</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6,472</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1,694,554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1,519,149</w:t>
            </w:r>
          </w:p>
        </w:tc>
      </w:tr>
      <w:tr>
        <w:trPr>
          <w:trHeight w:val="230"/>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6,147,086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6,923,934</w:t>
            </w:r>
          </w:p>
        </w:tc>
      </w:tr>
      <w:tr>
        <w:trPr>
          <w:trHeight w:val="223"/>
        </w:trPr>
        <w:tc>
          <w:tcPr>
            <w:tcW w:w="5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14,631,400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14,094,052</w:t>
            </w:r>
          </w:p>
        </w:tc>
      </w:tr>
      <w:tr>
        <w:trPr>
          <w:trHeight w:val="20"/>
        </w:trPr>
        <w:tc>
          <w:tcPr>
            <w:tcW w:w="5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Total property and equipment are periodically reviewed to assure the net realizable value from the estimated future production based on forecasted sales exceeds the carrying value of the assets. Total assets located in the United States include the Company’s investments in joint ventures.</w:t>
      </w:r>
    </w:p>
    <w:p>
      <w:pPr>
        <w:spacing w:after="0" w:line="1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and cost of goods sold recognized directly by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All joint venture operations, including equity in income, fees for services and related dividends, are primarily related to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w:t>
      </w:r>
    </w:p>
    <w:p>
      <w:pPr>
        <w:spacing w:after="0" w:line="166" w:lineRule="exact"/>
        <w:rPr>
          <w:sz w:val="20"/>
          <w:szCs w:val="20"/>
          <w:color w:val="auto"/>
        </w:rPr>
      </w:pPr>
    </w:p>
    <w:p>
      <w:pPr>
        <w:ind w:left="1300" w:hanging="1292"/>
        <w:spacing w:after="0"/>
        <w:tabs>
          <w:tab w:leader="none" w:pos="1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Company currently has 19 operating leases for various buildings, equipment and vehicles. These leases are under non-cancelable operating lease agreements with expiration dates between December 31, 2019 and June 30, 2024. The Company has the option to extend certain leases to five or ten-year term(s), and has the right of first refusal on any sale.</w:t>
      </w:r>
    </w:p>
    <w:p>
      <w:pPr>
        <w:spacing w:after="0" w:line="181"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The Company records lease liabilities within current liabilities or long-term liabilities based upon the length of time associated with the lease payments. The Company records its long-term operating leases as right-of-use assets. Upon initial adoption, using the modified retrospective transition approach, no leases with terms less than 12-months have been capitalized to the balance sheet consistent with ASC 842. Instead, these leases are recognized in the Consolidated Statement of Operations on a straight-line expense throughout the lives of the leases. All leases of the Company do not contain common area maintenance or security agreements.</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has made certain assumptions and judgments when applying ASC 842, the most significant of which is that the Company elected the package of practical expedients available for transition which allow the Company to not reassess whether expired or existing contracts contain leases under the new definition of a lease, lease classification for expired or existing leases and whether previously capitalized initial direct costs would qualify for capitalization under ASC 842. Additionally, the Company did not elect to use hindsight when considering judgments and estimates such as assessments of lessee options to extend or terminate a lease or purchase the underlying asset. The Company has no contingent rent agreements.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Arial" w:cs="Arial" w:eastAsia="Arial" w:hAnsi="Arial"/>
                <w:sz w:val="18"/>
                <w:szCs w:val="18"/>
                <w:i w:val="1"/>
                <w:iCs w:val="1"/>
                <w:color w:val="auto"/>
              </w:rPr>
              <w:t>Present Value of Long-term Leases</w:t>
            </w:r>
          </w:p>
        </w:tc>
        <w:tc>
          <w:tcPr>
            <w:tcW w:w="3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060" w:type="dxa"/>
            <w:vAlign w:val="bottom"/>
            <w:gridSpan w:val="2"/>
          </w:tcPr>
          <w:p>
            <w:pPr>
              <w:ind w:left="2020"/>
              <w:spacing w:after="0"/>
              <w:rPr>
                <w:sz w:val="20"/>
                <w:szCs w:val="20"/>
                <w:color w:val="auto"/>
              </w:rPr>
            </w:pPr>
            <w:r>
              <w:rPr>
                <w:rFonts w:ascii="Arial" w:cs="Arial" w:eastAsia="Arial" w:hAnsi="Arial"/>
                <w:sz w:val="18"/>
                <w:szCs w:val="18"/>
                <w:color w:val="auto"/>
              </w:rPr>
              <w:t>(in thousands):</w:t>
            </w:r>
          </w:p>
        </w:tc>
        <w:tc>
          <w:tcPr>
            <w:tcW w:w="340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b w:val="1"/>
                <w:bCs w:val="1"/>
                <w:color w:val="auto"/>
                <w:w w:val="89"/>
              </w:rPr>
              <w:t>November 30, 2019</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20" w:type="dxa"/>
            <w:vAlign w:val="bottom"/>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Right-of-use assets, net</w:t>
            </w:r>
          </w:p>
        </w:tc>
        <w:tc>
          <w:tcPr>
            <w:tcW w:w="34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598,784</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lease liability</w:t>
            </w:r>
          </w:p>
        </w:tc>
        <w:tc>
          <w:tcPr>
            <w:tcW w:w="3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295,856</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tcPr>
          <w:p>
            <w:pPr>
              <w:spacing w:after="0"/>
              <w:rPr>
                <w:sz w:val="19"/>
                <w:szCs w:val="19"/>
                <w:color w:val="auto"/>
              </w:rPr>
            </w:pPr>
          </w:p>
        </w:tc>
        <w:tc>
          <w:tcPr>
            <w:tcW w:w="3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 liability, less current portion</w:t>
            </w:r>
          </w:p>
        </w:tc>
        <w:tc>
          <w:tcPr>
            <w:tcW w:w="34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302,928</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3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lease liability</w:t>
            </w:r>
          </w:p>
        </w:tc>
        <w:tc>
          <w:tcPr>
            <w:tcW w:w="34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598,784</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0" w:type="dxa"/>
            <w:vAlign w:val="bottom"/>
            <w:vMerge w:val="restart"/>
          </w:tcPr>
          <w:p>
            <w:pPr>
              <w:jc w:val="right"/>
              <w:ind w:right="257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20" w:type="dxa"/>
            <w:vAlign w:val="bottom"/>
            <w:shd w:val="clear" w:color="auto" w:fill="000000"/>
          </w:tcPr>
          <w:p>
            <w:pPr>
              <w:spacing w:after="0"/>
              <w:rPr>
                <w:sz w:val="5"/>
                <w:szCs w:val="5"/>
                <w:color w:val="auto"/>
              </w:rPr>
            </w:pPr>
          </w:p>
        </w:tc>
        <w:tc>
          <w:tcPr>
            <w:tcW w:w="3040" w:type="dxa"/>
            <w:vAlign w:val="bottom"/>
            <w:shd w:val="clear" w:color="auto" w:fill="000000"/>
          </w:tcPr>
          <w:p>
            <w:pPr>
              <w:spacing w:after="0"/>
              <w:rPr>
                <w:sz w:val="5"/>
                <w:szCs w:val="5"/>
                <w:color w:val="auto"/>
              </w:rPr>
            </w:pPr>
          </w:p>
        </w:tc>
        <w:tc>
          <w:tcPr>
            <w:tcW w:w="34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1"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As of November 30, 2019, the weighted-average remaining lease term was 2.3 years. The Company’s lease agreements do not provide a readily determinable implicit rate nor is it available to the Company from its lessors. Instead, as of November 30, 2019, the Company estimates the weighted-average discount rate for its operating leases to be 4.32% to present value based on the incremental borrowing rate.</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Future minimum payments for the next five fiscal years and thereafter as of November 30, 2019 under these long-term operating leases are as follows (in thousands):</w:t>
      </w:r>
    </w:p>
    <w:p>
      <w:pPr>
        <w:spacing w:after="0" w:line="185" w:lineRule="exact"/>
        <w:rPr>
          <w:sz w:val="20"/>
          <w:szCs w:val="20"/>
          <w:color w:val="auto"/>
        </w:rPr>
      </w:pPr>
    </w:p>
    <w:tbl>
      <w:tblPr>
        <w:tblLayout w:type="fixed"/>
        <w:tblInd w:w="2020" w:type="dxa"/>
        <w:tblCellMar>
          <w:top w:w="0" w:type="dxa"/>
          <w:left w:w="0" w:type="dxa"/>
          <w:bottom w:w="0" w:type="dxa"/>
          <w:right w:w="0" w:type="dxa"/>
        </w:tblCellMar>
      </w:tblP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Fiscal 2020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227,888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Fiscal 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263,392</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Fiscal 2022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125,648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Fiscal 2023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10,222</w:t>
            </w:r>
          </w:p>
        </w:tc>
      </w:tr>
      <w:tr>
        <w:trPr>
          <w:trHeight w:val="23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r>
      <w:tr>
        <w:trPr>
          <w:trHeight w:val="210"/>
        </w:trPr>
        <w:tc>
          <w:tcPr>
            <w:tcW w:w="7020" w:type="dxa"/>
            <w:vAlign w:val="bottom"/>
          </w:tcPr>
          <w:p>
            <w:pPr>
              <w:ind w:left="360"/>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629,720</w:t>
            </w:r>
          </w:p>
        </w:tc>
      </w:tr>
      <w:tr>
        <w:trPr>
          <w:trHeight w:val="23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(30,936)</w:t>
            </w:r>
          </w:p>
        </w:tc>
      </w:tr>
      <w:tr>
        <w:trPr>
          <w:trHeight w:val="210"/>
        </w:trPr>
        <w:tc>
          <w:tcPr>
            <w:tcW w:w="7020" w:type="dxa"/>
            <w:vAlign w:val="bottom"/>
          </w:tcPr>
          <w:p>
            <w:pPr>
              <w:ind w:left="360"/>
              <w:spacing w:after="0"/>
              <w:rPr>
                <w:sz w:val="20"/>
                <w:szCs w:val="20"/>
                <w:color w:val="auto"/>
              </w:rPr>
            </w:pPr>
            <w:r>
              <w:rPr>
                <w:rFonts w:ascii="Arial" w:cs="Arial" w:eastAsia="Arial" w:hAnsi="Arial"/>
                <w:sz w:val="18"/>
                <w:szCs w:val="18"/>
                <w:color w:val="auto"/>
              </w:rPr>
              <w:t>Present value of obligations under operating leases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598,784</w:t>
            </w:r>
          </w:p>
        </w:tc>
      </w:tr>
      <w:tr>
        <w:trPr>
          <w:trHeight w:val="23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(295,856)</w:t>
            </w:r>
          </w:p>
        </w:tc>
      </w:tr>
      <w:tr>
        <w:trPr>
          <w:trHeight w:val="223"/>
        </w:trPr>
        <w:tc>
          <w:tcPr>
            <w:tcW w:w="7020" w:type="dxa"/>
            <w:vAlign w:val="bottom"/>
          </w:tcPr>
          <w:p>
            <w:pPr>
              <w:ind w:left="360"/>
              <w:spacing w:after="0"/>
              <w:rPr>
                <w:sz w:val="20"/>
                <w:szCs w:val="20"/>
                <w:color w:val="auto"/>
              </w:rPr>
            </w:pPr>
            <w:r>
              <w:rPr>
                <w:rFonts w:ascii="Arial" w:cs="Arial" w:eastAsia="Arial" w:hAnsi="Arial"/>
                <w:sz w:val="18"/>
                <w:szCs w:val="18"/>
                <w:color w:val="auto"/>
              </w:rPr>
              <w:t>Long-term operating lease obligations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302,928</w:t>
            </w: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 Plan</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August 31, 2019, the Compensation Committee of the Board of Directors of the Company approved the material terms of an annual bonus plan for the Company’s executive officers as well as certain officers and employees for the fiscal year ending August 31, 2020. For fiscal 2020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2020 compared to a pre-established target EBITOI for fiscal 2020, and 25% of the payout will be determined based upon such executive officer’s achievement of certain pre-established individual performance objectives. The payment of bonuses under the plan are discretionary, and bonuses may be paid to executive officer participants in both cash and shares of NTIC common stock, with the exact amount and percentages determined by the Company’s Board of Directors, upon recommendation of the Compensation Committee, after the completion of the Company’s consolidated financial statements for fiscal 2020. There was $400,000 accrued for management bonuses for the three months ended November 30, 2019 compared to $450,000 accrued for management bonuses for the three months ended November 30, 2018.</w:t>
      </w:r>
    </w:p>
    <w:p>
      <w:pPr>
        <w:spacing w:after="0" w:line="16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Three joint ventures (consisting of the Company’s joint ventures in South Korea, Thailand and India) accounted for 51.4% of the Company’s trade joint venture receivables at November 30, 2019 and five joint ventures (consisting of the Company’s joint ventures in South Korea, Thailand, France, Germany and India) accounted for 69.6% of the Company’s trade joint venture receivables as of August 31, 2019.</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November 30, 2019, the amount of liability, if any, with respect to these matters, individually or in the aggregate, will not materially affect the Company’s consolidated results of operations, financial position or cash flows.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ind w:left="1300" w:hanging="1292"/>
        <w:spacing w:after="0"/>
        <w:tabs>
          <w:tab w:leader="none" w:pos="1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 and the Company estimates that market value approximates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91"/>
              </w:rPr>
              <w:t>Fair Value Measurements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 as of</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center"/>
              <w:ind w:left="710"/>
              <w:spacing w:after="0"/>
              <w:rPr>
                <w:sz w:val="20"/>
                <w:szCs w:val="20"/>
                <w:color w:val="auto"/>
              </w:rPr>
            </w:pPr>
            <w:r>
              <w:rPr>
                <w:rFonts w:ascii="Arial" w:cs="Arial" w:eastAsia="Arial" w:hAnsi="Arial"/>
                <w:sz w:val="18"/>
                <w:szCs w:val="18"/>
                <w:b w:val="1"/>
                <w:bCs w:val="1"/>
                <w:color w:val="auto"/>
                <w:w w:val="89"/>
              </w:rPr>
              <w:t>Using Inputs Considered as</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4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November 30, 2019</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2,987,095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2,987,095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2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w w:val="91"/>
              </w:rPr>
              <w:t>Fair Value Measurements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Fair value as of</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center"/>
              <w:ind w:left="690"/>
              <w:spacing w:after="0"/>
              <w:rPr>
                <w:sz w:val="20"/>
                <w:szCs w:val="20"/>
                <w:color w:val="auto"/>
              </w:rPr>
            </w:pPr>
            <w:r>
              <w:rPr>
                <w:rFonts w:ascii="Arial" w:cs="Arial" w:eastAsia="Arial" w:hAnsi="Arial"/>
                <w:sz w:val="18"/>
                <w:szCs w:val="18"/>
                <w:b w:val="1"/>
                <w:bCs w:val="1"/>
                <w:color w:val="auto"/>
                <w:w w:val="88"/>
              </w:rPr>
              <w:t>Using Inputs Considered as</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August 31, 2019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ind w:left="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3,565,258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3,565,258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three months ended November 30, 2019 or 2018.</w:t>
      </w:r>
    </w:p>
    <w:p>
      <w:pPr>
        <w:spacing w:after="0" w:line="221" w:lineRule="exact"/>
        <w:rPr>
          <w:sz w:val="20"/>
          <w:szCs w:val="20"/>
          <w:color w:val="auto"/>
        </w:rPr>
      </w:pPr>
    </w:p>
    <w:p>
      <w:pPr>
        <w:ind w:left="1300" w:hanging="1292"/>
        <w:spacing w:after="0"/>
        <w:tabs>
          <w:tab w:leader="none" w:pos="1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 consisted of:</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46"/>
        </w:trPr>
        <w:tc>
          <w:tcPr>
            <w:tcW w:w="2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2280" w:type="dxa"/>
            <w:vAlign w:val="bottom"/>
          </w:tcPr>
          <w:p>
            <w:pPr>
              <w:spacing w:after="0"/>
              <w:rPr>
                <w:sz w:val="24"/>
                <w:szCs w:val="24"/>
                <w:color w:val="auto"/>
              </w:rPr>
            </w:pPr>
          </w:p>
        </w:tc>
      </w:tr>
      <w:tr>
        <w:trPr>
          <w:trHeight w:val="191"/>
        </w:trPr>
        <w:tc>
          <w:tcPr>
            <w:tcW w:w="23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3"/>
              </w:rPr>
              <w:t>November 30,</w:t>
            </w:r>
          </w:p>
        </w:tc>
        <w:tc>
          <w:tcPr>
            <w:tcW w:w="2280" w:type="dxa"/>
            <w:vAlign w:val="bottom"/>
          </w:tcPr>
          <w:p>
            <w:pPr>
              <w:spacing w:after="0"/>
              <w:rPr>
                <w:sz w:val="16"/>
                <w:szCs w:val="16"/>
                <w:color w:val="auto"/>
              </w:rPr>
            </w:pPr>
          </w:p>
        </w:tc>
      </w:tr>
      <w:tr>
        <w:trPr>
          <w:trHeight w:val="234"/>
        </w:trPr>
        <w:tc>
          <w:tcPr>
            <w:tcW w:w="2300" w:type="dxa"/>
            <w:vAlign w:val="bottom"/>
          </w:tcPr>
          <w:p>
            <w:pPr>
              <w:spacing w:after="0"/>
              <w:rPr>
                <w:sz w:val="20"/>
                <w:szCs w:val="20"/>
                <w:color w:val="auto"/>
              </w:rPr>
            </w:pPr>
          </w:p>
        </w:tc>
        <w:tc>
          <w:tcPr>
            <w:tcW w:w="282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p>
        </w:tc>
      </w:tr>
      <w:tr>
        <w:trPr>
          <w:trHeight w:val="742"/>
        </w:trPr>
        <w:tc>
          <w:tcPr>
            <w:tcW w:w="2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68"/>
        </w:trPr>
        <w:tc>
          <w:tcPr>
            <w:tcW w:w="2300" w:type="dxa"/>
            <w:vAlign w:val="bottom"/>
            <w:shd w:val="clear" w:color="auto" w:fill="000000"/>
          </w:tcPr>
          <w:p>
            <w:pPr>
              <w:spacing w:after="0"/>
              <w:rPr>
                <w:sz w:val="5"/>
                <w:szCs w:val="5"/>
                <w:color w:val="auto"/>
              </w:rPr>
            </w:pPr>
          </w:p>
        </w:tc>
        <w:tc>
          <w:tcPr>
            <w:tcW w:w="282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228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337"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Non-cash financing activity consisted of:</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46"/>
        </w:trPr>
        <w:tc>
          <w:tcPr>
            <w:tcW w:w="23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23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3"/>
          </w:tcPr>
          <w:p>
            <w:pPr>
              <w:jc w:val="center"/>
              <w:ind w:right="325"/>
              <w:spacing w:after="0" w:line="191" w:lineRule="exact"/>
              <w:rPr>
                <w:sz w:val="20"/>
                <w:szCs w:val="20"/>
                <w:color w:val="auto"/>
              </w:rPr>
            </w:pPr>
            <w:r>
              <w:rPr>
                <w:rFonts w:ascii="Arial" w:cs="Arial" w:eastAsia="Arial" w:hAnsi="Arial"/>
                <w:sz w:val="18"/>
                <w:szCs w:val="18"/>
                <w:b w:val="1"/>
                <w:bCs w:val="1"/>
                <w:color w:val="auto"/>
                <w:w w:val="91"/>
              </w:rPr>
              <w:t>November 30,</w:t>
            </w:r>
          </w:p>
        </w:tc>
        <w:tc>
          <w:tcPr>
            <w:tcW w:w="13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9"/>
              </w:rPr>
              <w:t>November 30,</w:t>
            </w:r>
          </w:p>
        </w:tc>
      </w:tr>
      <w:tr>
        <w:trPr>
          <w:trHeight w:val="234"/>
        </w:trPr>
        <w:tc>
          <w:tcPr>
            <w:tcW w:w="2300" w:type="dxa"/>
            <w:vAlign w:val="bottom"/>
          </w:tcPr>
          <w:p>
            <w:pPr>
              <w:spacing w:after="0"/>
              <w:rPr>
                <w:sz w:val="20"/>
                <w:szCs w:val="20"/>
                <w:color w:val="auto"/>
              </w:rPr>
            </w:pPr>
          </w:p>
        </w:tc>
        <w:tc>
          <w:tcPr>
            <w:tcW w:w="37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10"/>
        </w:trPr>
        <w:tc>
          <w:tcPr>
            <w:tcW w:w="23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not paid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0" w:name="page21"/>
    <w:bookmarkEnd w:id="20"/>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Arial" w:cs="Arial" w:eastAsia="Arial" w:hAnsi="Arial"/>
          <w:sz w:val="17"/>
          <w:szCs w:val="17"/>
          <w:i w:val="1"/>
          <w:iCs w:val="1"/>
          <w:color w:val="auto"/>
        </w:rPr>
        <w:t>Part I. Item 2. Management’s Discussion and Analysis of Financial Condition and Results of Operations—Forward-Looking Statements</w:t>
      </w:r>
      <w:r>
        <w:rPr>
          <w:rFonts w:ascii="Arial" w:cs="Arial" w:eastAsia="Arial" w:hAnsi="Arial"/>
          <w:sz w:val="17"/>
          <w:szCs w:val="17"/>
          <w:color w:val="auto"/>
        </w:rPr>
        <w:t>” in this report and under “</w:t>
      </w:r>
      <w:r>
        <w:rPr>
          <w:rFonts w:ascii="Arial" w:cs="Arial" w:eastAsia="Arial" w:hAnsi="Arial"/>
          <w:sz w:val="17"/>
          <w:szCs w:val="17"/>
          <w:i w:val="1"/>
          <w:iCs w:val="1"/>
          <w:color w:val="auto"/>
        </w:rPr>
        <w:t>Part 1. Item 1A. Risk Factors</w:t>
      </w:r>
      <w:r>
        <w:rPr>
          <w:rFonts w:ascii="Arial" w:cs="Arial" w:eastAsia="Arial" w:hAnsi="Arial"/>
          <w:sz w:val="17"/>
          <w:szCs w:val="17"/>
          <w:color w:val="auto"/>
        </w:rPr>
        <w:t>” in our annual report on Form 10-K for the fiscal year ended August 31, 2019. The following discussion of the results of the operations and financial condition of NTIC should be read in conjunction with NTIC’s consolidated financial statements and the related notes thereto included under the heading “</w:t>
      </w:r>
      <w:r>
        <w:rPr>
          <w:rFonts w:ascii="Arial" w:cs="Arial" w:eastAsia="Arial" w:hAnsi="Arial"/>
          <w:sz w:val="17"/>
          <w:szCs w:val="17"/>
          <w:i w:val="1"/>
          <w:iCs w:val="1"/>
          <w:color w:val="auto"/>
        </w:rPr>
        <w:t>Part I. Item 1. Financial Statements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 NTIC has</w:t>
      </w:r>
    </w:p>
    <w:p>
      <w:pPr>
        <w:spacing w:after="0" w:line="1"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been selling its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to the automotive, electronics, electrical, mechanical, military and retail consumer markets for over 40 years and, in recent years, has targeted and expanded into the oil and gas industry. NTIC also markets and sells a portfolio of bio-based and certified</w:t>
      </w:r>
    </w:p>
    <w:p>
      <w:pPr>
        <w:ind w:right="500"/>
        <w:spacing w:after="0" w:line="205" w:lineRule="auto"/>
        <w:rPr>
          <w:sz w:val="20"/>
          <w:szCs w:val="20"/>
          <w:color w:val="auto"/>
        </w:rPr>
      </w:pPr>
      <w:r>
        <w:rPr>
          <w:rFonts w:ascii="Arial" w:cs="Arial" w:eastAsia="Arial" w:hAnsi="Arial"/>
          <w:sz w:val="18"/>
          <w:szCs w:val="18"/>
          <w:color w:val="auto"/>
        </w:rPr>
        <w:t>compostable (fully biodegradable) polymer resin compounds and finished products under the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 These products are intended to reduce NTIC’s customers’ carbon footprint and provide environmentally sound waste disposal options.</w:t>
      </w:r>
    </w:p>
    <w:p>
      <w:pPr>
        <w:spacing w:after="0" w:line="207" w:lineRule="exact"/>
        <w:rPr>
          <w:sz w:val="20"/>
          <w:szCs w:val="20"/>
          <w:color w:val="auto"/>
        </w:rPr>
      </w:pPr>
    </w:p>
    <w:p>
      <w:pPr>
        <w:ind w:right="20"/>
        <w:spacing w:after="0"/>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w:t>
      </w:r>
    </w:p>
    <w:p>
      <w:pPr>
        <w:ind w:right="120"/>
        <w:spacing w:after="0" w:line="206" w:lineRule="auto"/>
        <w:rPr>
          <w:sz w:val="20"/>
          <w:szCs w:val="20"/>
          <w:color w:val="auto"/>
        </w:rPr>
      </w:pPr>
      <w:r>
        <w:rPr>
          <w:rFonts w:ascii="Arial" w:cs="Arial" w:eastAsia="Arial" w:hAnsi="Arial"/>
          <w:sz w:val="16"/>
          <w:szCs w:val="16"/>
          <w:color w:val="auto"/>
        </w:rPr>
        <w:t>prevention issues. NTIC’s technical service consultants work directly with the end users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to analyze their specific needs and develop systems to meet their performance requirements. In North America, NTIC sells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w:t>
      </w:r>
    </w:p>
    <w:p>
      <w:pPr>
        <w:spacing w:after="0" w:line="1"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solutions through a network of independent distributors and agents supported by a direct sales force. Internationally,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NTI Asean LLC (NTI Asean), certain other wholly-owned or majority-owned subsidiaries, and joint venture arrangements in North America, Europe and Asia. NTIC also sells products directly to its joint venture partners through its wholly-owned subsidiary in Germany, NTIC Europe GmbH (NTI Europe).</w:t>
      </w:r>
    </w:p>
    <w:p>
      <w:pPr>
        <w:spacing w:after="0" w:line="203" w:lineRule="exact"/>
        <w:rPr>
          <w:sz w:val="20"/>
          <w:szCs w:val="20"/>
          <w:color w:val="auto"/>
        </w:rPr>
      </w:pPr>
    </w:p>
    <w:p>
      <w:pPr>
        <w:ind w:right="160"/>
        <w:spacing w:after="0"/>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technologies. Consequently, for the past several years, NTIC has focused significant sales and marketing efforts on the oil and gas industry, as the infrastructure that supports that industry is</w:t>
      </w:r>
    </w:p>
    <w:p>
      <w:pPr>
        <w:ind w:right="60"/>
        <w:spacing w:after="0" w:line="217" w:lineRule="auto"/>
        <w:rPr>
          <w:sz w:val="20"/>
          <w:szCs w:val="20"/>
          <w:color w:val="auto"/>
        </w:rPr>
      </w:pPr>
      <w:r>
        <w:rPr>
          <w:rFonts w:ascii="Arial" w:cs="Arial" w:eastAsia="Arial" w:hAnsi="Arial"/>
          <w:sz w:val="18"/>
          <w:szCs w:val="18"/>
          <w:color w:val="auto"/>
        </w:rPr>
        <w:t>typically constructed using metals that are highly susceptible to corrosion. NTIC believes that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will minimize maintenance downtime on critical oil and gas industry infrastructure, extend the life of such infrastructure and reduce the risk of environmental pollution due to leaks caused by corrosion.</w:t>
      </w:r>
    </w:p>
    <w:p>
      <w:pPr>
        <w:spacing w:after="0" w:line="208"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NTIC markets and sells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prevention solutions to customers in the oil and gas industry across several countries either directly, through its subsidiaries or through its joint venture partners and other strategic partners. The sale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to customers in the oil and gas industry typically involves long sales cycles, often including multi-year trial periods with each customer and a slow integration process thereafter.</w:t>
      </w:r>
    </w:p>
    <w:p>
      <w:pPr>
        <w:spacing w:after="0" w:line="209"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and compostable plastics are manufactured using NTIC’s patented and/or proprietary technologies and are intended to replace conventional petroleum-based plastics.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w:t>
      </w:r>
    </w:p>
    <w:p>
      <w:pPr>
        <w:spacing w:after="0" w:line="2"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and leaf bags, pet waste collection bags, cutlery and coated paper products. In North America, NTIC markets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primarily through a network of regional and national distributors as well as independent agents. NTIC continues to see significant opportunities for</w:t>
      </w:r>
    </w:p>
    <w:p>
      <w:pPr>
        <w:spacing w:after="0" w:line="2" w:lineRule="exact"/>
        <w:rPr>
          <w:sz w:val="20"/>
          <w:szCs w:val="20"/>
          <w:color w:val="auto"/>
        </w:rPr>
      </w:pPr>
    </w:p>
    <w:p>
      <w:pPr>
        <w:ind w:right="260"/>
        <w:spacing w:after="0" w:line="205" w:lineRule="auto"/>
        <w:rPr>
          <w:sz w:val="20"/>
          <w:szCs w:val="20"/>
          <w:color w:val="auto"/>
        </w:rPr>
      </w:pPr>
      <w:r>
        <w:rPr>
          <w:rFonts w:ascii="Arial" w:cs="Arial" w:eastAsia="Arial" w:hAnsi="Arial"/>
          <w:sz w:val="18"/>
          <w:szCs w:val="18"/>
          <w:color w:val="auto"/>
        </w:rPr>
        <w:t>finished bioplastic products and, therefore, continues to strengthen and expand its North American distribution network for finished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bioplastic products.</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1" w:name="page22"/>
    <w:bookmarkEnd w:id="21"/>
    <w:p>
      <w:pPr>
        <w:ind w:right="660"/>
        <w:spacing w:after="0" w:line="210" w:lineRule="auto"/>
        <w:rPr>
          <w:sz w:val="20"/>
          <w:szCs w:val="20"/>
          <w:color w:val="auto"/>
        </w:rPr>
      </w:pPr>
      <w:r>
        <w:rPr>
          <w:rFonts w:ascii="Arial" w:cs="Arial" w:eastAsia="Arial" w:hAnsi="Arial"/>
          <w:sz w:val="18"/>
          <w:szCs w:val="18"/>
          <w:color w:val="auto"/>
        </w:rPr>
        <w:t>Internationally, NTIC sells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both directly and through its wholly-owned subsidiary in China, its majority-owned subsidiaries in India and Sri Lanka, and through distributors and certain joint ventures.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Subsidiaries and Joint Venture Network</w:t>
      </w:r>
    </w:p>
    <w:p>
      <w:pPr>
        <w:spacing w:after="0" w:line="22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NTIC has ownership interests in nine operating subsidiaries in North America, South America, Europe and Asia. The following table sets forth a list of NTIC’s operating subsidiaries as of November 30, 2019, the country in which the subsidiary is organized and NTIC’s ownership percentage in each subsidiary: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34"/>
        </w:trPr>
        <w:tc>
          <w:tcPr>
            <w:tcW w:w="4020" w:type="dxa"/>
            <w:vAlign w:val="bottom"/>
            <w:gridSpan w:val="2"/>
          </w:tcPr>
          <w:p>
            <w:pPr>
              <w:ind w:left="1300"/>
              <w:spacing w:after="0"/>
              <w:rPr>
                <w:sz w:val="20"/>
                <w:szCs w:val="20"/>
                <w:color w:val="auto"/>
              </w:rPr>
            </w:pPr>
            <w:r>
              <w:rPr>
                <w:rFonts w:ascii="Arial" w:cs="Arial" w:eastAsia="Arial" w:hAnsi="Arial"/>
                <w:sz w:val="18"/>
                <w:szCs w:val="18"/>
                <w:b w:val="1"/>
                <w:bCs w:val="1"/>
                <w:color w:val="auto"/>
              </w:rPr>
              <w:t>Subsidiary Name</w:t>
            </w:r>
          </w:p>
        </w:tc>
        <w:tc>
          <w:tcPr>
            <w:tcW w:w="3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Country</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3"/>
              </w:rPr>
              <w:t>Percent (%) Ownership</w:t>
            </w: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12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NTI Asean LLC</w:t>
            </w:r>
          </w:p>
        </w:tc>
        <w:tc>
          <w:tcPr>
            <w:tcW w:w="3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United States</w:t>
            </w:r>
          </w:p>
        </w:tc>
        <w:tc>
          <w:tcPr>
            <w:tcW w:w="3520" w:type="dxa"/>
            <w:vAlign w:val="bottom"/>
          </w:tcPr>
          <w:p>
            <w:pPr>
              <w:jc w:val="center"/>
              <w:ind w:left="10"/>
              <w:spacing w:after="0"/>
              <w:rPr>
                <w:sz w:val="20"/>
                <w:szCs w:val="20"/>
                <w:color w:val="auto"/>
              </w:rPr>
            </w:pPr>
            <w:r>
              <w:rPr>
                <w:rFonts w:ascii="Arial" w:cs="Arial" w:eastAsia="Arial" w:hAnsi="Arial"/>
                <w:sz w:val="18"/>
                <w:szCs w:val="18"/>
                <w:color w:val="auto"/>
                <w:w w:val="94"/>
              </w:rPr>
              <w:t>60%</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3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Brazil</w:t>
            </w:r>
          </w:p>
        </w:tc>
        <w:tc>
          <w:tcPr>
            <w:tcW w:w="35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85%</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ZERUST-EXCOR MEXICO, S. de R.L. de C.V</w:t>
            </w:r>
          </w:p>
        </w:tc>
        <w:tc>
          <w:tcPr>
            <w:tcW w:w="38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Mexico</w:t>
            </w:r>
          </w:p>
        </w:tc>
        <w:tc>
          <w:tcPr>
            <w:tcW w:w="3520" w:type="dxa"/>
            <w:vAlign w:val="bottom"/>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3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India</w:t>
            </w:r>
          </w:p>
        </w:tc>
        <w:tc>
          <w:tcPr>
            <w:tcW w:w="35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75%</w:t>
            </w:r>
          </w:p>
        </w:tc>
      </w:tr>
      <w:tr>
        <w:trPr>
          <w:trHeight w:val="257"/>
        </w:trPr>
        <w:tc>
          <w:tcPr>
            <w:tcW w:w="4020" w:type="dxa"/>
            <w:vAlign w:val="bottom"/>
            <w:gridSpan w:val="2"/>
          </w:tcPr>
          <w:p>
            <w:pPr>
              <w:spacing w:after="0"/>
              <w:rPr>
                <w:sz w:val="20"/>
                <w:szCs w:val="20"/>
                <w:color w:val="auto"/>
              </w:rPr>
            </w:pPr>
            <w:r>
              <w:rPr>
                <w:rFonts w:ascii="Arial" w:cs="Arial" w:eastAsia="Arial" w:hAnsi="Arial"/>
                <w:sz w:val="18"/>
                <w:szCs w:val="18"/>
                <w:color w:val="auto"/>
              </w:rPr>
              <w:t>Natur Tec Lanka (Pvt) Ltd</w:t>
            </w:r>
          </w:p>
        </w:tc>
        <w:tc>
          <w:tcPr>
            <w:tcW w:w="388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8"/>
              </w:rPr>
              <w:t>Sri Lanka</w:t>
            </w:r>
            <w:r>
              <w:rPr>
                <w:rFonts w:ascii="Arial" w:cs="Arial" w:eastAsia="Arial" w:hAnsi="Arial"/>
                <w:sz w:val="29"/>
                <w:szCs w:val="29"/>
                <w:color w:val="auto"/>
                <w:w w:val="88"/>
                <w:vertAlign w:val="superscript"/>
              </w:rPr>
              <w:t>(1)</w:t>
            </w:r>
          </w:p>
        </w:tc>
        <w:tc>
          <w:tcPr>
            <w:tcW w:w="3520" w:type="dxa"/>
            <w:vAlign w:val="bottom"/>
          </w:tcPr>
          <w:p>
            <w:pPr>
              <w:jc w:val="center"/>
              <w:ind w:left="10"/>
              <w:spacing w:after="0"/>
              <w:rPr>
                <w:sz w:val="20"/>
                <w:szCs w:val="20"/>
                <w:color w:val="auto"/>
              </w:rPr>
            </w:pPr>
            <w:r>
              <w:rPr>
                <w:rFonts w:ascii="Arial" w:cs="Arial" w:eastAsia="Arial" w:hAnsi="Arial"/>
                <w:sz w:val="18"/>
                <w:szCs w:val="18"/>
                <w:color w:val="auto"/>
                <w:w w:val="94"/>
              </w:rPr>
              <w:t>75%</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NTIC Europe GmbH</w:t>
            </w:r>
          </w:p>
        </w:tc>
        <w:tc>
          <w:tcPr>
            <w:tcW w:w="3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Germany</w:t>
            </w:r>
          </w:p>
        </w:tc>
        <w:tc>
          <w:tcPr>
            <w:tcW w:w="35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57"/>
        </w:trPr>
        <w:tc>
          <w:tcPr>
            <w:tcW w:w="4020" w:type="dxa"/>
            <w:vAlign w:val="bottom"/>
            <w:gridSpan w:val="2"/>
          </w:tcPr>
          <w:p>
            <w:pPr>
              <w:spacing w:after="0"/>
              <w:rPr>
                <w:sz w:val="20"/>
                <w:szCs w:val="20"/>
                <w:color w:val="auto"/>
              </w:rPr>
            </w:pPr>
            <w:r>
              <w:rPr>
                <w:rFonts w:ascii="Arial" w:cs="Arial" w:eastAsia="Arial" w:hAnsi="Arial"/>
                <w:sz w:val="18"/>
                <w:szCs w:val="18"/>
                <w:color w:val="auto"/>
              </w:rPr>
              <w:t>Zerust Singapore PTE. LTD</w:t>
            </w:r>
          </w:p>
        </w:tc>
        <w:tc>
          <w:tcPr>
            <w:tcW w:w="388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6"/>
              </w:rPr>
              <w:t xml:space="preserve">Singapore </w:t>
            </w:r>
            <w:r>
              <w:rPr>
                <w:rFonts w:ascii="Arial" w:cs="Arial" w:eastAsia="Arial" w:hAnsi="Arial"/>
                <w:sz w:val="29"/>
                <w:szCs w:val="29"/>
                <w:color w:val="auto"/>
                <w:w w:val="86"/>
                <w:vertAlign w:val="superscript"/>
              </w:rPr>
              <w:t>(2)</w:t>
            </w:r>
          </w:p>
        </w:tc>
        <w:tc>
          <w:tcPr>
            <w:tcW w:w="3520" w:type="dxa"/>
            <w:vAlign w:val="bottom"/>
          </w:tcPr>
          <w:p>
            <w:pPr>
              <w:jc w:val="center"/>
              <w:ind w:left="10"/>
              <w:spacing w:after="0"/>
              <w:rPr>
                <w:sz w:val="20"/>
                <w:szCs w:val="20"/>
                <w:color w:val="auto"/>
              </w:rPr>
            </w:pPr>
            <w:r>
              <w:rPr>
                <w:rFonts w:ascii="Arial" w:cs="Arial" w:eastAsia="Arial" w:hAnsi="Arial"/>
                <w:sz w:val="18"/>
                <w:szCs w:val="18"/>
                <w:color w:val="auto"/>
                <w:w w:val="94"/>
              </w:rPr>
              <w:t>60%</w:t>
            </w:r>
          </w:p>
        </w:tc>
      </w:tr>
      <w:tr>
        <w:trPr>
          <w:trHeight w:val="257"/>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Vietnam Co. LTD</w:t>
            </w:r>
          </w:p>
        </w:tc>
        <w:tc>
          <w:tcPr>
            <w:tcW w:w="3880" w:type="dxa"/>
            <w:vAlign w:val="bottom"/>
            <w:gridSpan w:val="2"/>
            <w:shd w:val="clear" w:color="auto" w:fill="CCEEFF"/>
          </w:tcPr>
          <w:p>
            <w:pPr>
              <w:jc w:val="center"/>
              <w:ind w:right="120"/>
              <w:spacing w:after="0" w:line="256" w:lineRule="exact"/>
              <w:rPr>
                <w:sz w:val="20"/>
                <w:szCs w:val="20"/>
                <w:color w:val="auto"/>
              </w:rPr>
            </w:pPr>
            <w:r>
              <w:rPr>
                <w:rFonts w:ascii="Arial" w:cs="Arial" w:eastAsia="Arial" w:hAnsi="Arial"/>
                <w:sz w:val="18"/>
                <w:szCs w:val="18"/>
                <w:color w:val="auto"/>
                <w:w w:val="88"/>
              </w:rPr>
              <w:t xml:space="preserve">Vietnam </w:t>
            </w:r>
            <w:r>
              <w:rPr>
                <w:rFonts w:ascii="Arial" w:cs="Arial" w:eastAsia="Arial" w:hAnsi="Arial"/>
                <w:sz w:val="29"/>
                <w:szCs w:val="29"/>
                <w:color w:val="auto"/>
                <w:w w:val="88"/>
                <w:vertAlign w:val="superscript"/>
              </w:rPr>
              <w:t>(2)</w:t>
            </w:r>
          </w:p>
        </w:tc>
        <w:tc>
          <w:tcPr>
            <w:tcW w:w="35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60%</w:t>
            </w:r>
          </w:p>
        </w:tc>
      </w:tr>
    </w:tbl>
    <w:p>
      <w:pPr>
        <w:spacing w:after="0" w:line="202"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 Tec Lanka is 100% owned by Natur-Tec India and, therefore, indirectly owned by NTIC.</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Zerust Singapore PTE LTD and Zerust Vietnam Co. LTD are 100% owned by NTI Asean LLC and, therefore, indirectly owned by NTIC.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subsidiaries are fully consolidated in NTIC’s consolidated financial statements.</w:t>
      </w:r>
    </w:p>
    <w:p>
      <w:pPr>
        <w:spacing w:after="0" w:line="225" w:lineRule="exact"/>
        <w:rPr>
          <w:sz w:val="20"/>
          <w:szCs w:val="20"/>
          <w:color w:val="auto"/>
        </w:rPr>
      </w:pPr>
    </w:p>
    <w:p>
      <w:pPr>
        <w:ind w:right="540"/>
        <w:spacing w:after="0" w:line="291" w:lineRule="auto"/>
        <w:rPr>
          <w:sz w:val="20"/>
          <w:szCs w:val="20"/>
          <w:color w:val="auto"/>
        </w:rPr>
      </w:pPr>
      <w:r>
        <w:rPr>
          <w:rFonts w:ascii="Arial" w:cs="Arial" w:eastAsia="Arial" w:hAnsi="Arial"/>
          <w:sz w:val="16"/>
          <w:szCs w:val="16"/>
          <w:color w:val="auto"/>
        </w:rPr>
        <w:t>NTIC participates in 19 active joint venture arrangements in North America, Europe and Asia. Each of these joint ventures generally manufactures and markets products in the geographic territory to which it is assigned. While most of NTIC’s joint ventures exclusively sell rust and corrosion inhibiting</w:t>
      </w:r>
    </w:p>
    <w:p>
      <w:pPr>
        <w:ind w:right="200"/>
        <w:spacing w:after="0" w:line="205" w:lineRule="auto"/>
        <w:rPr>
          <w:sz w:val="20"/>
          <w:szCs w:val="20"/>
          <w:color w:val="auto"/>
        </w:rPr>
      </w:pPr>
      <w:r>
        <w:rPr>
          <w:rFonts w:ascii="Arial" w:cs="Arial" w:eastAsia="Arial" w:hAnsi="Arial"/>
          <w:sz w:val="18"/>
          <w:szCs w:val="18"/>
          <w:color w:val="auto"/>
        </w:rPr>
        <w:t>products, some of the joint ventures also sell NTIC’s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NTIC has historically funded its investments in joint ventures with cash generated from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list of NTIC’s operating joint ventures as of November 30, 2019, the country in which the joint venture is organized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NTIC’s ownership percentage in each joint venture: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34"/>
        </w:trPr>
        <w:tc>
          <w:tcPr>
            <w:tcW w:w="3900" w:type="dxa"/>
            <w:vAlign w:val="bottom"/>
            <w:gridSpan w:val="2"/>
          </w:tcPr>
          <w:p>
            <w:pPr>
              <w:ind w:left="1120"/>
              <w:spacing w:after="0"/>
              <w:rPr>
                <w:sz w:val="20"/>
                <w:szCs w:val="20"/>
                <w:color w:val="auto"/>
              </w:rPr>
            </w:pPr>
            <w:r>
              <w:rPr>
                <w:rFonts w:ascii="Arial" w:cs="Arial" w:eastAsia="Arial" w:hAnsi="Arial"/>
                <w:sz w:val="18"/>
                <w:szCs w:val="18"/>
                <w:b w:val="1"/>
                <w:bCs w:val="1"/>
                <w:color w:val="auto"/>
              </w:rPr>
              <w:t>Joint Venture Name</w:t>
            </w:r>
          </w:p>
        </w:tc>
        <w:tc>
          <w:tcPr>
            <w:tcW w:w="3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Country</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Percent (%) Ownership</w:t>
            </w: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TAIYONIC LTD.</w:t>
            </w:r>
          </w:p>
        </w:tc>
        <w:tc>
          <w:tcPr>
            <w:tcW w:w="12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1"/>
              </w:rPr>
              <w:t>Japan</w:t>
            </w:r>
          </w:p>
        </w:tc>
        <w:tc>
          <w:tcPr>
            <w:tcW w:w="1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ACOBAL SAS</w:t>
            </w:r>
          </w:p>
        </w:tc>
        <w:tc>
          <w:tcPr>
            <w:tcW w:w="38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France</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02"/>
        </w:trPr>
        <w:tc>
          <w:tcPr>
            <w:tcW w:w="3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EXCOR KORROSIONSSCHUTZ –</w:t>
            </w:r>
          </w:p>
        </w:tc>
        <w:tc>
          <w:tcPr>
            <w:tcW w:w="3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r>
      <w:tr>
        <w:trPr>
          <w:trHeight w:val="21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TECHNOLOGIEN</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r>
      <w:tr>
        <w:trPr>
          <w:trHeight w:val="230"/>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UND PRODUKTE GMBH</w:t>
            </w:r>
          </w:p>
        </w:tc>
        <w:tc>
          <w:tcPr>
            <w:tcW w:w="3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Germany</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ZERUST AB</w:t>
            </w:r>
          </w:p>
        </w:tc>
        <w:tc>
          <w:tcPr>
            <w:tcW w:w="38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Sweden</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MOSTNIC-ZERUST</w:t>
            </w:r>
          </w:p>
        </w:tc>
        <w:tc>
          <w:tcPr>
            <w:tcW w:w="3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Russia</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ZERUST OY</w:t>
            </w:r>
          </w:p>
        </w:tc>
        <w:tc>
          <w:tcPr>
            <w:tcW w:w="38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Finland</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HARITA-NTI LTD</w:t>
            </w:r>
          </w:p>
        </w:tc>
        <w:tc>
          <w:tcPr>
            <w:tcW w:w="3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India</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783"/>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jc w:val="right"/>
              <w:ind w:right="177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68"/>
        </w:trPr>
        <w:tc>
          <w:tcPr>
            <w:tcW w:w="37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7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6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345"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34"/>
        </w:trPr>
        <w:tc>
          <w:tcPr>
            <w:tcW w:w="3900" w:type="dxa"/>
            <w:vAlign w:val="bottom"/>
            <w:gridSpan w:val="2"/>
          </w:tcPr>
          <w:p>
            <w:pPr>
              <w:ind w:left="1120"/>
              <w:spacing w:after="0"/>
              <w:rPr>
                <w:sz w:val="20"/>
                <w:szCs w:val="20"/>
                <w:color w:val="auto"/>
              </w:rPr>
            </w:pPr>
            <w:r>
              <w:rPr>
                <w:rFonts w:ascii="Arial" w:cs="Arial" w:eastAsia="Arial" w:hAnsi="Arial"/>
                <w:sz w:val="18"/>
                <w:szCs w:val="18"/>
                <w:b w:val="1"/>
                <w:bCs w:val="1"/>
                <w:color w:val="auto"/>
              </w:rPr>
              <w:t>Joint Venture Name</w:t>
            </w:r>
          </w:p>
        </w:tc>
        <w:tc>
          <w:tcPr>
            <w:tcW w:w="3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Country</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Percent (%) Ownership</w:t>
            </w: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ZERUST (U.K.) LTD.</w:t>
            </w:r>
          </w:p>
        </w:tc>
        <w:tc>
          <w:tcPr>
            <w:tcW w:w="12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United Kingdom</w:t>
            </w:r>
          </w:p>
        </w:tc>
        <w:tc>
          <w:tcPr>
            <w:tcW w:w="1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EXCOR-ZERUST S.R.O.</w:t>
            </w:r>
          </w:p>
        </w:tc>
        <w:tc>
          <w:tcPr>
            <w:tcW w:w="3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Czech Republic</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EXCOR SP. Z.O.O.</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Poland</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ZERUST A.Ş.</w:t>
            </w:r>
          </w:p>
        </w:tc>
        <w:tc>
          <w:tcPr>
            <w:tcW w:w="38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Turkey</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CONSUMER PRODUCTS, LLC</w:t>
            </w:r>
          </w:p>
        </w:tc>
        <w:tc>
          <w:tcPr>
            <w:tcW w:w="3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United States</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ZERUST – DNEPR</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Ukraine</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57"/>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KOREA ZERUST CO., LTD.</w:t>
            </w:r>
          </w:p>
        </w:tc>
        <w:tc>
          <w:tcPr>
            <w:tcW w:w="3880" w:type="dxa"/>
            <w:vAlign w:val="bottom"/>
            <w:gridSpan w:val="2"/>
            <w:shd w:val="clear" w:color="auto" w:fill="CCEEFF"/>
          </w:tcPr>
          <w:p>
            <w:pPr>
              <w:jc w:val="center"/>
              <w:ind w:right="120"/>
              <w:spacing w:after="0" w:line="256" w:lineRule="exact"/>
              <w:rPr>
                <w:sz w:val="20"/>
                <w:szCs w:val="20"/>
                <w:color w:val="auto"/>
              </w:rPr>
            </w:pPr>
            <w:r>
              <w:rPr>
                <w:rFonts w:ascii="Arial" w:cs="Arial" w:eastAsia="Arial" w:hAnsi="Arial"/>
                <w:sz w:val="18"/>
                <w:szCs w:val="18"/>
                <w:color w:val="auto"/>
                <w:w w:val="86"/>
              </w:rPr>
              <w:t xml:space="preserve">South Korea </w:t>
            </w:r>
            <w:r>
              <w:rPr>
                <w:rFonts w:ascii="Arial" w:cs="Arial" w:eastAsia="Arial" w:hAnsi="Arial"/>
                <w:sz w:val="29"/>
                <w:szCs w:val="29"/>
                <w:color w:val="auto"/>
                <w:w w:val="86"/>
                <w:vertAlign w:val="superscript"/>
              </w:rPr>
              <w:t>(1)</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3900" w:type="dxa"/>
            <w:vAlign w:val="bottom"/>
            <w:gridSpan w:val="2"/>
          </w:tcPr>
          <w:p>
            <w:pPr>
              <w:spacing w:after="0"/>
              <w:rPr>
                <w:sz w:val="20"/>
                <w:szCs w:val="20"/>
                <w:color w:val="auto"/>
              </w:rPr>
            </w:pPr>
            <w:r>
              <w:rPr>
                <w:rFonts w:ascii="Arial" w:cs="Arial" w:eastAsia="Arial" w:hAnsi="Arial"/>
                <w:sz w:val="18"/>
                <w:szCs w:val="18"/>
                <w:color w:val="auto"/>
              </w:rPr>
              <w:t>ZERUST-NIC (TAIWAN) CORP.</w:t>
            </w:r>
          </w:p>
        </w:tc>
        <w:tc>
          <w:tcPr>
            <w:tcW w:w="388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7"/>
              </w:rPr>
              <w:t xml:space="preserve">Taiwan </w:t>
            </w:r>
            <w:r>
              <w:rPr>
                <w:rFonts w:ascii="Arial" w:cs="Arial" w:eastAsia="Arial" w:hAnsi="Arial"/>
                <w:sz w:val="29"/>
                <w:szCs w:val="29"/>
                <w:color w:val="auto"/>
                <w:w w:val="87"/>
                <w:vertAlign w:val="superscript"/>
              </w:rPr>
              <w:t>(1)</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 CHEMINDO – NTIA</w:t>
            </w:r>
          </w:p>
        </w:tc>
        <w:tc>
          <w:tcPr>
            <w:tcW w:w="3880" w:type="dxa"/>
            <w:vAlign w:val="bottom"/>
            <w:gridSpan w:val="2"/>
            <w:shd w:val="clear" w:color="auto" w:fill="CCEEFF"/>
          </w:tcPr>
          <w:p>
            <w:pPr>
              <w:jc w:val="center"/>
              <w:ind w:right="120"/>
              <w:spacing w:after="0" w:line="256" w:lineRule="exact"/>
              <w:rPr>
                <w:sz w:val="20"/>
                <w:szCs w:val="20"/>
                <w:color w:val="auto"/>
              </w:rPr>
            </w:pPr>
            <w:r>
              <w:rPr>
                <w:rFonts w:ascii="Arial" w:cs="Arial" w:eastAsia="Arial" w:hAnsi="Arial"/>
                <w:sz w:val="18"/>
                <w:szCs w:val="18"/>
                <w:color w:val="auto"/>
                <w:w w:val="86"/>
              </w:rPr>
              <w:t xml:space="preserve">Indonesia </w:t>
            </w:r>
            <w:r>
              <w:rPr>
                <w:rFonts w:ascii="Arial" w:cs="Arial" w:eastAsia="Arial" w:hAnsi="Arial"/>
                <w:sz w:val="29"/>
                <w:szCs w:val="29"/>
                <w:color w:val="auto"/>
                <w:w w:val="86"/>
                <w:vertAlign w:val="superscript"/>
              </w:rPr>
              <w:t>(1)</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3900" w:type="dxa"/>
            <w:vAlign w:val="bottom"/>
            <w:gridSpan w:val="2"/>
          </w:tcPr>
          <w:p>
            <w:pPr>
              <w:spacing w:after="0"/>
              <w:rPr>
                <w:sz w:val="20"/>
                <w:szCs w:val="20"/>
                <w:color w:val="auto"/>
              </w:rPr>
            </w:pPr>
            <w:r>
              <w:rPr>
                <w:rFonts w:ascii="Arial" w:cs="Arial" w:eastAsia="Arial" w:hAnsi="Arial"/>
                <w:sz w:val="18"/>
                <w:szCs w:val="18"/>
                <w:color w:val="auto"/>
              </w:rPr>
              <w:t>ZERUST SPECIALTY TECH CO. LTD.</w:t>
            </w:r>
          </w:p>
        </w:tc>
        <w:tc>
          <w:tcPr>
            <w:tcW w:w="388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8"/>
              </w:rPr>
              <w:t xml:space="preserve">Thailand </w:t>
            </w:r>
            <w:r>
              <w:rPr>
                <w:rFonts w:ascii="Arial" w:cs="Arial" w:eastAsia="Arial" w:hAnsi="Arial"/>
                <w:sz w:val="29"/>
                <w:szCs w:val="29"/>
                <w:color w:val="auto"/>
                <w:w w:val="88"/>
                <w:vertAlign w:val="superscript"/>
              </w:rPr>
              <w:t>(1)</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57"/>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CHONG WAH-NTIA SDN. BHD.</w:t>
            </w:r>
          </w:p>
        </w:tc>
        <w:tc>
          <w:tcPr>
            <w:tcW w:w="3880" w:type="dxa"/>
            <w:vAlign w:val="bottom"/>
            <w:gridSpan w:val="2"/>
            <w:shd w:val="clear" w:color="auto" w:fill="CCEEFF"/>
          </w:tcPr>
          <w:p>
            <w:pPr>
              <w:jc w:val="center"/>
              <w:ind w:right="120"/>
              <w:spacing w:after="0" w:line="256" w:lineRule="exact"/>
              <w:rPr>
                <w:sz w:val="20"/>
                <w:szCs w:val="20"/>
                <w:color w:val="auto"/>
              </w:rPr>
            </w:pPr>
            <w:r>
              <w:rPr>
                <w:rFonts w:ascii="Arial" w:cs="Arial" w:eastAsia="Arial" w:hAnsi="Arial"/>
                <w:sz w:val="18"/>
                <w:szCs w:val="18"/>
                <w:color w:val="auto"/>
                <w:w w:val="88"/>
              </w:rPr>
              <w:t xml:space="preserve">Malaysia </w:t>
            </w:r>
            <w:r>
              <w:rPr>
                <w:rFonts w:ascii="Arial" w:cs="Arial" w:eastAsia="Arial" w:hAnsi="Arial"/>
                <w:sz w:val="29"/>
                <w:szCs w:val="29"/>
                <w:color w:val="auto"/>
                <w:w w:val="88"/>
                <w:vertAlign w:val="superscript"/>
              </w:rPr>
              <w:t>(1)</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r>
        <w:trPr>
          <w:trHeight w:val="242"/>
        </w:trPr>
        <w:tc>
          <w:tcPr>
            <w:tcW w:w="3900" w:type="dxa"/>
            <w:vAlign w:val="bottom"/>
            <w:gridSpan w:val="2"/>
          </w:tcPr>
          <w:p>
            <w:pPr>
              <w:spacing w:after="0"/>
              <w:rPr>
                <w:sz w:val="20"/>
                <w:szCs w:val="20"/>
                <w:color w:val="auto"/>
              </w:rPr>
            </w:pPr>
            <w:r>
              <w:rPr>
                <w:rFonts w:ascii="Arial" w:cs="Arial" w:eastAsia="Arial" w:hAnsi="Arial"/>
                <w:sz w:val="18"/>
                <w:szCs w:val="18"/>
                <w:color w:val="auto"/>
              </w:rPr>
              <w:t>NTIA ZERUST PHILIPPINES, INC.</w:t>
            </w:r>
          </w:p>
        </w:tc>
        <w:tc>
          <w:tcPr>
            <w:tcW w:w="3880" w:type="dxa"/>
            <w:vAlign w:val="bottom"/>
            <w:gridSpan w:val="2"/>
          </w:tcPr>
          <w:p>
            <w:pPr>
              <w:jc w:val="center"/>
              <w:ind w:right="120"/>
              <w:spacing w:after="0" w:line="242" w:lineRule="exact"/>
              <w:rPr>
                <w:sz w:val="20"/>
                <w:szCs w:val="20"/>
                <w:color w:val="auto"/>
              </w:rPr>
            </w:pPr>
            <w:r>
              <w:rPr>
                <w:rFonts w:ascii="Arial" w:cs="Arial" w:eastAsia="Arial" w:hAnsi="Arial"/>
                <w:sz w:val="17"/>
                <w:szCs w:val="17"/>
                <w:color w:val="auto"/>
                <w:w w:val="94"/>
              </w:rPr>
              <w:t xml:space="preserve">Philippines </w:t>
            </w:r>
            <w:r>
              <w:rPr>
                <w:rFonts w:ascii="Arial" w:cs="Arial" w:eastAsia="Arial" w:hAnsi="Arial"/>
                <w:sz w:val="28"/>
                <w:szCs w:val="28"/>
                <w:color w:val="auto"/>
                <w:w w:val="94"/>
                <w:vertAlign w:val="superscript"/>
              </w:rPr>
              <w:t>(1)</w:t>
            </w: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spacing w:after="0"/>
              <w:rPr>
                <w:sz w:val="20"/>
                <w:szCs w:val="20"/>
                <w:color w:val="auto"/>
              </w:rPr>
            </w:pPr>
          </w:p>
        </w:tc>
      </w:tr>
    </w:tbl>
    <w:p>
      <w:pPr>
        <w:spacing w:after="0" w:line="202" w:lineRule="exact"/>
        <w:rPr>
          <w:sz w:val="20"/>
          <w:szCs w:val="20"/>
          <w:color w:val="auto"/>
        </w:rPr>
      </w:pPr>
    </w:p>
    <w:p>
      <w:pPr>
        <w:ind w:left="720" w:hanging="388"/>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Indirect ownership interest through NTI Asean.</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NTIC receives funds from its joint ventures as fees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NTIC considers EXCOR to be individually significant to NTIC’s consolidated assets and income and, therefore, provides certain additional information regarding EXCOR in the notes to NTIC’s consolidated financial statements and in this section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NTIC’s management, including its chief executive officer, who is NTIC’s chief operating decision maker, reports and manages NTIC’s operations in two reportable business segments based on products sold, customer base and distribution center: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and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All share and per share data have been adjusted for all periods presented to reflect the two-for-one stock split effective June 28, 2019.</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NTIC’s consolidated net sales increased 3.8% during the three months ended November 30, 2019 compared to the three months ended November 30, 2018.</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primarily a result of an increase in sales of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ind w:right="220"/>
        <w:spacing w:after="0"/>
        <w:rPr>
          <w:sz w:val="20"/>
          <w:szCs w:val="20"/>
          <w:color w:val="auto"/>
        </w:rPr>
      </w:pPr>
      <w:r>
        <w:rPr>
          <w:rFonts w:ascii="Arial" w:cs="Arial" w:eastAsia="Arial" w:hAnsi="Arial"/>
          <w:sz w:val="16"/>
          <w:szCs w:val="16"/>
          <w:color w:val="auto"/>
        </w:rPr>
        <w:t>During the three months ended November 30, 2019, 68.0% of NTIC’s consolidated net sales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which decreased 1.1% to $9,949,512 compared to $10,065,174 for the three months ended November 30, 2018. This decrease was due to lower sales from</w:t>
      </w:r>
    </w:p>
    <w:p>
      <w:pPr>
        <w:spacing w:after="0" w:line="247" w:lineRule="auto"/>
        <w:rPr>
          <w:sz w:val="20"/>
          <w:szCs w:val="20"/>
          <w:color w:val="auto"/>
        </w:rPr>
      </w:pPr>
      <w:r>
        <w:rPr>
          <w:rFonts w:ascii="Arial" w:cs="Arial" w:eastAsia="Arial" w:hAnsi="Arial"/>
          <w:sz w:val="16"/>
          <w:szCs w:val="16"/>
          <w:color w:val="auto"/>
        </w:rPr>
        <w:t>existing customers for products as a result of decreased demand. NTIC has focused its sales efforts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by strategically targeting customers with specific corrosion issues in new market areas, including the oil and gas industry and other industrial sectors that offer sizable growth opportunities. NTIC’s consolidated net sales for the three months ended November 30, 2019 included $520,844 of sales made to customers in the oil and gas</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industry compared to $986,173 for the three months ended November 30, 2018. Overall demand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depends heavily on the overall health of the markets in which NTIC sells its products, including the automotive, oil and gas, agriculture, and mining markets in particular.</w:t>
      </w:r>
    </w:p>
    <w:p>
      <w:pPr>
        <w:spacing w:after="0" w:line="207" w:lineRule="exact"/>
        <w:rPr>
          <w:sz w:val="20"/>
          <w:szCs w:val="20"/>
          <w:color w:val="auto"/>
        </w:rPr>
      </w:pPr>
    </w:p>
    <w:p>
      <w:pPr>
        <w:ind w:right="140"/>
        <w:spacing w:after="0" w:line="207" w:lineRule="auto"/>
        <w:rPr>
          <w:sz w:val="20"/>
          <w:szCs w:val="20"/>
          <w:color w:val="auto"/>
        </w:rPr>
      </w:pPr>
      <w:r>
        <w:rPr>
          <w:rFonts w:ascii="Arial" w:cs="Arial" w:eastAsia="Arial" w:hAnsi="Arial"/>
          <w:sz w:val="18"/>
          <w:szCs w:val="18"/>
          <w:color w:val="auto"/>
        </w:rPr>
        <w:t>During the three months ended November 30, 2019, 32.0% of NTIC’s consolidated net sales were derived from sales of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compared to 28.6% during the three months ended November 30, 2018. Net sales of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increased 16.2% during the three months ended November 30, 2019 compared to the three months ended November 30, 2018 primarily due to an increase in finished product sales in North America and finished product sales at NTIC’s majority-owned subsidiary in India.</w:t>
      </w:r>
    </w:p>
    <w:p>
      <w:pPr>
        <w:spacing w:after="0" w:line="20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Cost of goods sold as a percentage of net sales decreased slightly to 67.0% during the three months ended November 30, 2019 compared to 67.1% during the three months ended November 30, 2018.</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NTIC’s equity in income from joint ventures decreased 35.4% to $1,293,990 during the three months ended November 30, 2019 compared to $2,004,162 during the three months ended November 30, 2018. This decrease was primarily due to a corresponding decrease in net sales at the joint ventures, which decreased 16.5% to $25,460,294 during the three months ended November 30, 2019 compared to $30,479,926 for the three months ended November 30, 2018. The decrease in the net sales of NTIC’s joint ventures was due primarily to decreased sales from existing customers for existing products as a result of decreased demand. The decrease in net sales of NTIC’s joint ventures resulted in a corresponding decrease in fees for services provided to joint ventures, as such fees are a function of net sales of NTIC’s joint ventures.</w:t>
      </w:r>
    </w:p>
    <w:p>
      <w:pPr>
        <w:spacing w:after="0" w:line="19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NTIC’s total operating expenses decreased 4.5% to $5,898,620 during the three months ended November 30, 2019 compared to $6,179,048 for the three months ended November 30, 2018. This decrease was primarily due to a decrease in NTIC’s personnel expenses and achievement of various cost control actions undertaken by management.</w:t>
      </w:r>
    </w:p>
    <w:p>
      <w:pPr>
        <w:spacing w:after="0" w:line="18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NTIC spent $961,641 and $872,157 during the three months ended November 30, 2019 and 2018, respectively, in connection with its research and development activities. NTIC anticipates that it will spend between $3,600,000 and $3,900,000 in fiscal 2020 on research and development activities.</w:t>
      </w:r>
    </w:p>
    <w:p>
      <w:pPr>
        <w:spacing w:after="0" w:line="12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Net income attributable to NTIC decreased $284,509 to $1,212,550, or $0.13 per diluted common share, for the three months ended November 30, 2019 compared to $1,497,059, or $0.16 per diluted common share, for the three months ended November 30, 2018. This decrease was primarily the result of the decrease in joint venture operations during the three months ended November 30, 2019 compared to the three months ended November 30, 2018.</w:t>
      </w:r>
    </w:p>
    <w:p>
      <w:pPr>
        <w:spacing w:after="0" w:line="147" w:lineRule="exact"/>
        <w:rPr>
          <w:sz w:val="20"/>
          <w:szCs w:val="20"/>
          <w:color w:val="auto"/>
        </w:rPr>
      </w:pPr>
    </w:p>
    <w:p>
      <w:pPr>
        <w:ind w:right="280"/>
        <w:spacing w:after="0" w:line="231" w:lineRule="auto"/>
        <w:rPr>
          <w:sz w:val="20"/>
          <w:szCs w:val="20"/>
          <w:color w:val="auto"/>
        </w:rPr>
      </w:pPr>
      <w:r>
        <w:rPr>
          <w:rFonts w:ascii="Arial" w:cs="Arial" w:eastAsia="Arial" w:hAnsi="Arial"/>
          <w:sz w:val="18"/>
          <w:szCs w:val="18"/>
          <w:color w:val="auto"/>
        </w:rPr>
        <w:t>NTIC anticipates that its quarterly net income or loss will continue to be subject to significant volatility primarily due to the financial performance of its subsidiaries and joint ventures, sales of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the oil and gas industry, and sales of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bioplastics products, which sales fluctuate more on a quarterly basis than the traditional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w:t>
      </w:r>
    </w:p>
    <w:p>
      <w:pPr>
        <w:spacing w:after="0" w:line="8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NTIC’s working capital, defined as current assets less current liabilities, was $25,253,374 at November 30, 2019, including $4,106,796 in cash and cash equivalents and $2,987,095 in available for sale securities, compared to $25,460,569 at August 31, 2019, including $5,856,758 in cash and cash equivalents and $3,565,258 in available for sale securities.</w:t>
      </w:r>
    </w:p>
    <w:p>
      <w:pPr>
        <w:spacing w:after="0" w:line="181" w:lineRule="exact"/>
        <w:rPr>
          <w:sz w:val="20"/>
          <w:szCs w:val="20"/>
          <w:color w:val="auto"/>
        </w:rPr>
      </w:pPr>
    </w:p>
    <w:p>
      <w:pPr>
        <w:jc w:val="both"/>
        <w:ind w:right="240"/>
        <w:spacing w:after="0" w:line="297" w:lineRule="auto"/>
        <w:rPr>
          <w:sz w:val="20"/>
          <w:szCs w:val="20"/>
          <w:color w:val="auto"/>
        </w:rPr>
      </w:pPr>
      <w:r>
        <w:rPr>
          <w:rFonts w:ascii="Arial" w:cs="Arial" w:eastAsia="Arial" w:hAnsi="Arial"/>
          <w:sz w:val="16"/>
          <w:szCs w:val="16"/>
          <w:color w:val="auto"/>
        </w:rPr>
        <w:t>On October 22, 2019, the Company’s Board of Directors announced a quarterly cash dividend of $0.065 per share of NTIC’s common stock, payable on November 20, 2019 to stockholders of record on November 6, 2019. During fiscal 2019, the Company’s Board of Directors declared four quarterly cash dividends of $0.06 per share each. Although NTIC’s Board of Directors intends to continue to declare regular quarterly cash dividends, the declaration of future dividends is not guaranteed and will be determined by NTIC’s Board of Directors in light of conditions then existing, including NTIC’s net income, financial condition, cash requirements, restrictions in financing agreements, business conditions and other factors.</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345" w:right="2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60" w:type="dxa"/>
            <w:vAlign w:val="bottom"/>
            <w:gridSpan w:val="10"/>
          </w:tcPr>
          <w:p>
            <w:pPr>
              <w:spacing w:after="0"/>
              <w:rPr>
                <w:sz w:val="20"/>
                <w:szCs w:val="20"/>
                <w:color w:val="auto"/>
              </w:rPr>
            </w:pPr>
            <w:r>
              <w:rPr>
                <w:rFonts w:ascii="Arial" w:cs="Arial" w:eastAsia="Arial" w:hAnsi="Arial"/>
                <w:sz w:val="18"/>
                <w:szCs w:val="18"/>
                <w:color w:val="auto"/>
                <w:w w:val="95"/>
              </w:rPr>
              <w:t>The following table sets forth NTIC’s results of operations for the three months ended November 30, 2019 and 2018.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November 30,</w:t>
            </w:r>
          </w:p>
        </w:tc>
        <w:tc>
          <w:tcPr>
            <w:tcW w:w="118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2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November 30,</w:t>
            </w:r>
          </w:p>
        </w:tc>
        <w:tc>
          <w:tcPr>
            <w:tcW w:w="118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50"/>
              <w:spacing w:after="0" w:line="191"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220" w:type="dxa"/>
            <w:vAlign w:val="bottom"/>
          </w:tcPr>
          <w:p>
            <w:pPr>
              <w:jc w:val="right"/>
              <w:ind w:right="450"/>
              <w:spacing w:after="0" w:line="19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Net Sales</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$ 14,045,784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$ 13,610,865</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434,919</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585,616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483,187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102,429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9,805,084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9,461,137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343,947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from joint ventures</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1,293,990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2,004,162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(710,172)</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Fees for services provided to joint ventures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1,358,325</w:t>
            </w:r>
          </w:p>
        </w:tc>
        <w:tc>
          <w:tcPr>
            <w:tcW w:w="1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1,428,435</w:t>
            </w:r>
          </w:p>
        </w:tc>
        <w:tc>
          <w:tcPr>
            <w:tcW w:w="1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(70,110)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Selling expenses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2,887,292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2,811,094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76,198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2,049,687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2,495,797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(446,110)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961,641</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872,157</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89,484</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increased 3.8% to $14,631,400 during the three months ended November 30, 2019 compared to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November 30, 2018. NTIC’s consolidated net sales to unaffiliated customers excluding NTIC’s joint ventures increased 3.2% to $14,045,784 during the three months ended November 30, 2019 compared to the same period in fiscal 2019. These increases were primarily a result of an increase in sales of Natur-</w:t>
      </w:r>
    </w:p>
    <w:p>
      <w:pPr>
        <w:ind w:right="260"/>
        <w:spacing w:after="0" w:line="205" w:lineRule="auto"/>
        <w:rPr>
          <w:sz w:val="20"/>
          <w:szCs w:val="20"/>
          <w:color w:val="auto"/>
        </w:rPr>
      </w:pPr>
      <w:r>
        <w:rPr>
          <w:rFonts w:ascii="Arial" w:cs="Arial" w:eastAsia="Arial" w:hAnsi="Arial"/>
          <w:sz w:val="18"/>
          <w:szCs w:val="18"/>
          <w:color w:val="auto"/>
        </w:rPr>
        <w:t>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Net sales to joint ventures increased 21.2% to $585,616 during the three months ended November 30, 2019 compared to the same period in fiscal 2019. This increase was primarily a result of timing differences on various shipments to joint ventures.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segment for the three months ended November 30, 2019 and 2018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60" w:type="dxa"/>
            <w:vAlign w:val="bottom"/>
            <w:tcBorders>
              <w:bottom w:val="single" w:sz="8" w:color="auto"/>
            </w:tcBorders>
          </w:tcPr>
          <w:p>
            <w:pPr>
              <w:spacing w:after="0"/>
              <w:rPr>
                <w:sz w:val="20"/>
                <w:szCs w:val="20"/>
                <w:color w:val="auto"/>
              </w:rPr>
            </w:pPr>
          </w:p>
        </w:tc>
      </w:tr>
      <w:tr>
        <w:trPr>
          <w:trHeight w:val="191"/>
        </w:trPr>
        <w:tc>
          <w:tcPr>
            <w:tcW w:w="3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570"/>
              <w:spacing w:after="0" w:line="191"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460" w:type="dxa"/>
            <w:vAlign w:val="bottom"/>
          </w:tcPr>
          <w:p>
            <w:pPr>
              <w:jc w:val="right"/>
              <w:ind w:right="57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62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37"/>
        </w:trPr>
        <w:tc>
          <w:tcPr>
            <w:tcW w:w="36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Total ZERUST</w:t>
            </w:r>
            <w:r>
              <w:rPr>
                <w:rFonts w:ascii="Arial" w:cs="Arial" w:eastAsia="Arial" w:hAnsi="Arial"/>
                <w:sz w:val="27"/>
                <w:szCs w:val="27"/>
                <w:color w:val="auto"/>
                <w:vertAlign w:val="superscript"/>
              </w:rPr>
              <w:t>®</w:t>
            </w:r>
            <w:r>
              <w:rPr>
                <w:rFonts w:ascii="Arial" w:cs="Arial" w:eastAsia="Arial" w:hAnsi="Arial"/>
                <w:sz w:val="17"/>
                <w:szCs w:val="17"/>
                <w:color w:val="auto"/>
              </w:rPr>
              <w:t xml:space="preserve"> sales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9,949,512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10,065,174</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(115,662)</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3620" w:type="dxa"/>
            <w:vAlign w:val="bottom"/>
            <w:tcBorders>
              <w:bottom w:val="single" w:sz="8" w:color="CCEEFF"/>
            </w:tcBorders>
          </w:tcPr>
          <w:p>
            <w:pPr>
              <w:spacing w:after="0" w:line="269" w:lineRule="exact"/>
              <w:rPr>
                <w:sz w:val="20"/>
                <w:szCs w:val="20"/>
                <w:color w:val="auto"/>
              </w:rPr>
            </w:pPr>
            <w:r>
              <w:rPr>
                <w:rFonts w:ascii="Arial" w:cs="Arial" w:eastAsia="Arial" w:hAnsi="Arial"/>
                <w:sz w:val="18"/>
                <w:szCs w:val="18"/>
                <w:color w:val="auto"/>
              </w:rPr>
              <w:t>Total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sales</w:t>
            </w:r>
          </w:p>
        </w:tc>
        <w:tc>
          <w:tcPr>
            <w:tcW w:w="196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4,681,888</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4,028,878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653,010</w:t>
            </w:r>
          </w:p>
        </w:tc>
        <w:tc>
          <w:tcPr>
            <w:tcW w:w="10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1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sales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14,631,400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14,094,052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537,348</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bl>
    <w:p>
      <w:pPr>
        <w:spacing w:after="0" w:line="205"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During the three months ended November 30, 2019, 68.0% of NTIC’s consolidated net sales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which decreased 1.1% to $9,949,512 during the three months ended November 30, 2019 compared to $10,065,174 during the three months ended November</w:t>
      </w:r>
    </w:p>
    <w:p>
      <w:pPr>
        <w:ind w:right="220"/>
        <w:spacing w:after="0" w:line="206" w:lineRule="auto"/>
        <w:rPr>
          <w:sz w:val="20"/>
          <w:szCs w:val="20"/>
          <w:color w:val="auto"/>
        </w:rPr>
      </w:pPr>
      <w:r>
        <w:rPr>
          <w:rFonts w:ascii="Arial" w:cs="Arial" w:eastAsia="Arial" w:hAnsi="Arial"/>
          <w:sz w:val="16"/>
          <w:szCs w:val="16"/>
          <w:color w:val="auto"/>
        </w:rPr>
        <w:t>30, 2018. This decrease was primarily the result of decreased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oil and gas net sales due to decreased demand. NTIC has strategically focused its sales efforts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on customers with sizeable corrosion problems in industry sectors that offer sizable growth opportunities,</w:t>
      </w:r>
    </w:p>
    <w:p>
      <w:pPr>
        <w:spacing w:after="0" w:line="1" w:lineRule="exact"/>
        <w:rPr>
          <w:sz w:val="20"/>
          <w:szCs w:val="20"/>
          <w:color w:val="auto"/>
        </w:rPr>
      </w:pPr>
    </w:p>
    <w:p>
      <w:pPr>
        <w:ind w:right="120"/>
        <w:spacing w:after="0" w:line="204" w:lineRule="auto"/>
        <w:rPr>
          <w:sz w:val="20"/>
          <w:szCs w:val="20"/>
          <w:color w:val="auto"/>
        </w:rPr>
      </w:pPr>
      <w:r>
        <w:rPr>
          <w:rFonts w:ascii="Arial" w:cs="Arial" w:eastAsia="Arial" w:hAnsi="Arial"/>
          <w:sz w:val="18"/>
          <w:szCs w:val="18"/>
          <w:color w:val="auto"/>
        </w:rPr>
        <w:t>including the oil and gas sector. Overall demand for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depends heavily on the overall health of the market segments to which NTIC sells its products, including the automotive, oil and gas, agriculture, and mining markets in particular.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for the three months ended November 30, 2019 and 2018:</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60" w:type="dxa"/>
            <w:vAlign w:val="bottom"/>
            <w:tcBorders>
              <w:bottom w:val="single" w:sz="8" w:color="auto"/>
            </w:tcBorders>
          </w:tcPr>
          <w:p>
            <w:pPr>
              <w:spacing w:after="0"/>
              <w:rPr>
                <w:sz w:val="20"/>
                <w:szCs w:val="20"/>
                <w:color w:val="auto"/>
              </w:rPr>
            </w:pPr>
          </w:p>
        </w:tc>
      </w:tr>
      <w:tr>
        <w:trPr>
          <w:trHeight w:val="191"/>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570"/>
              <w:spacing w:after="0" w:line="191"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460" w:type="dxa"/>
            <w:vAlign w:val="bottom"/>
          </w:tcPr>
          <w:p>
            <w:pPr>
              <w:jc w:val="right"/>
              <w:ind w:right="57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5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8,843,052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8,595,814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247,238</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1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585,616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483,187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102,429</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520,844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986,173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(465,329)</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24"/>
        </w:trPr>
        <w:tc>
          <w:tcPr>
            <w:tcW w:w="5580" w:type="dxa"/>
            <w:vAlign w:val="bottom"/>
          </w:tcPr>
          <w:p>
            <w:pPr>
              <w:ind w:left="180"/>
              <w:spacing w:after="0"/>
              <w:rPr>
                <w:sz w:val="20"/>
                <w:szCs w:val="20"/>
                <w:color w:val="auto"/>
              </w:rPr>
            </w:pPr>
            <w:r>
              <w:rPr>
                <w:rFonts w:ascii="Arial" w:cs="Arial" w:eastAsia="Arial" w:hAnsi="Arial"/>
                <w:sz w:val="18"/>
                <w:szCs w:val="18"/>
                <w:color w:val="auto"/>
              </w:rPr>
              <w:t>Total ZERUST® 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9,949,512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10,065,174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(115,662)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87"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NTIC’s net sales to the oil and gas industry sector decreased during the three months ended November 30, 2019 compared to the prior fiscal year period, primarily due to decreased demand for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oil and gas products and services. NTIC anticipates that its sales of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into the oil and gas industry will continue to remain subject to significant volatility from quarter to quarter as sales are recognized, specifically due to the volatility of oil prices.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98"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During the three months ended November 30, 2019, 32.0% of NTIC’s consolidated net sales were derived from sales of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which increased 16.2% to $4,681,888 during the three months ended November 30, 2019 compared to the three months ended November 30, 2018. This increase was primarily due to an increase in finished product sales in North America and finished product sales at NTIC’s majority-owned subsidiary in India.</w:t>
      </w:r>
    </w:p>
    <w:p>
      <w:pPr>
        <w:spacing w:after="0" w:line="19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increased 3.6% for the three months ended November 30, 2019 compared to the three months ended November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Cost of goods sold as a percentage of net sales decreased slightly to 67.0% for the three months ended November 30, 2019 compared to 67.1% for the three months ended November 30, 2018.</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Equity in Income from Joint Ventures. </w:t>
      </w:r>
      <w:r>
        <w:rPr>
          <w:rFonts w:ascii="Arial" w:cs="Arial" w:eastAsia="Arial" w:hAnsi="Arial"/>
          <w:sz w:val="18"/>
          <w:szCs w:val="18"/>
          <w:color w:val="auto"/>
        </w:rPr>
        <w:t>NTIC’s equity in income from joint ventures decreased 35.4% to $1,293,990 during the three months ended November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2019 compared to $2,004,162 during the three months ended November 30, 2018. This decrease was primarily a result of changing profitability of the joint ventures, which fluctuates based on net sales, during the respective periods. Of the total equity in income from joint ventures, NTIC had equity in income from joint ventures of $821,164 attributable to EXCOR during the three months ended November 30, 2019 compared to $1,519,901 during the three months ended November 30, 2018.</w:t>
      </w:r>
    </w:p>
    <w:p>
      <w:pPr>
        <w:spacing w:after="0" w:line="18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i w:val="1"/>
          <w:iCs w:val="1"/>
          <w:color w:val="auto"/>
        </w:rPr>
        <w:t>Fees for Services Provided to Joint Ventures</w:t>
      </w:r>
      <w:r>
        <w:rPr>
          <w:rFonts w:ascii="Arial" w:cs="Arial" w:eastAsia="Arial" w:hAnsi="Arial"/>
          <w:sz w:val="17"/>
          <w:szCs w:val="17"/>
          <w:color w:val="auto"/>
        </w:rPr>
        <w:t>. NTIC recognized fee income for services provided to joint ventures of $1,358,325 during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November 30, 2019 compared to $1,428,435 during the three months ended November 30, 2018, representing a decrease of $70,110, or 4.9%. Fee income for services provided to joint ventures is traditionally a function of the sales made by NTIC’s joint ventures. Total net sales of NTIC’s joint ventures decreased 16.5% to $25,460,294 during the three months ended November 30, 2019 compared to $30,479,926 for the three months ended November 30, 2018. Net sales of NTIC’s joint ventures are not included in NTIC’s consolidated financial statements. Of the total fee income for services provided to joint ventures, fees of $212,101 were attributable to EXCOR during the three months ended November 30, 2019 compared to $214,992 attributable to EXCOR during the three months ended November 30, 2018.</w:t>
      </w:r>
    </w:p>
    <w:p>
      <w:pPr>
        <w:spacing w:after="0" w:line="178"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2.7% for the three months ended November 30, 2019 compared to the same period in fiscal 2019 due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increases in operating expenses associated with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sales efforts, consisting primarily of selling and personnel expenses. Selling expenses as a percentage of net sales decreased slightly to 19.7% for the three months ended November 30, 2019 from 19.9% during the three months ended November 30, 2018 primarily due to the decrease in net sales, as previously described.</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6" w:name="page27"/>
    <w:bookmarkEnd w:id="26"/>
    <w:p>
      <w:pPr>
        <w:ind w:right="60"/>
        <w:spacing w:after="0" w:line="25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decreased 17.9% for the three months ended November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fiscal 2019 primarily due to decreased personnel costs and the implementation of various cost control initiatives. As a percentage of net sales, general and administrative expenses decreased to 14.0% for the three months ended November 30, 2019 from 17.7% for the three months ended November 30, 2018 due primarily to the decreases in expenses in North America and NTIC’s subsidiary in India, and the slight increase in net sales, as previously described.</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increased 10.3% for the three months ended November 30, 2019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 in fiscal 2019 primarily due to increases in research and development efforts.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increased to $49,038 during the three months ended November 30, 2019 compared to $12,787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2018 due to changing levels of invested cash.</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to $5,444 during the three months ended November 30, 2019 compared to $2,357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2018.</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Income Before Income Tax Expense</w:t>
      </w:r>
      <w:r>
        <w:rPr>
          <w:rFonts w:ascii="Arial" w:cs="Arial" w:eastAsia="Arial" w:hAnsi="Arial"/>
          <w:sz w:val="18"/>
          <w:szCs w:val="18"/>
          <w:color w:val="auto"/>
        </w:rPr>
        <w:t>. NTIC incurred income before income tax expense equal to $1,623,605 for the three months ended November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$1,896,894 for the three months ended November 30, 2018.</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$264,066 during the three months ended November 30, 2019 compared to $255,703 during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November 30, 2018. Income tax expense was calculated based on management’s estimate of NTIC’s annual effective income tax rate.</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$23,373,721 and $22,178,126 at November 30, 2019 and August 31, 2019, respectively. To the extent undistributed earnings of NTIC’s joint ventures are distributed in the future, they are not expected to result in any material additional income tax liability after the application of foreign tax credits.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Net Income Attributable to NTIC</w:t>
      </w:r>
      <w:r>
        <w:rPr>
          <w:rFonts w:ascii="Arial" w:cs="Arial" w:eastAsia="Arial" w:hAnsi="Arial"/>
          <w:sz w:val="18"/>
          <w:szCs w:val="18"/>
          <w:color w:val="auto"/>
        </w:rPr>
        <w:t>. Net income attributable to NTIC decreased $284,509 to $1,212,550, or $0.13 per diluted common share,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2019 compared to $1,497,059, or $0.16 per diluted common share, for the three months ended November 30, 2018. This decrease was primarily the result of the decrease in operating expenses and decrease in joint venture operations during the three months ended November 30, 2019 compared to the prior year period, partially offset by the increase in gross profit.</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changes in the foreign currency translations adjustment were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of the U.S. dollar compared to the Euro and other foreign currencies during the three months ended November 30, 2019 compared to the same period in fiscal 2019.</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NTIC’s working capital, defined as current assets less current liabilities, was $25,253,374 at November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$4,106,796 in cash and cash equivalents and $2,987,095 in available for sale securities, compared to $25,460,569 at August 31, 2019, including $5,856,758 in cash and cash equivalents and $3,565,258 in available for sale securities.</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of November 30, 2019, NTIC had a revolving line of credit with PNC Bank of $3,000,000 with no amounts outstanding.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On December 16, 2019, the Company and PNC Bank extended the maturity date of the line of credit from January 7, 2020 to January 7, 2021.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lines of credit issued by PNC Bank would decrease the availability under the revolving line of credit.</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November 30, 2019, NTIC was in compliance with all debt covenants.</w:t>
      </w:r>
    </w:p>
    <w:p>
      <w:pPr>
        <w:spacing w:after="0" w:line="17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2020, NTIC expects to continue to invest directly and through its use of working capital in NTIC China, Zerust Mexico, NTI Europe, research and development, marketing efforts, resources for</w:t>
      </w:r>
    </w:p>
    <w:p>
      <w:pPr>
        <w:spacing w:after="0" w:line="2"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the application of its corrosion prevention technology in the oil and gas industry, and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bio-plastics business, although the amounts of these various investments are not known at this time.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Uses of Cash and Cash Flow</w:t>
      </w:r>
      <w:r>
        <w:rPr>
          <w:rFonts w:ascii="Arial" w:cs="Arial" w:eastAsia="Arial" w:hAnsi="Arial"/>
          <w:sz w:val="17"/>
          <w:szCs w:val="17"/>
          <w:color w:val="auto"/>
        </w:rPr>
        <w:t>. Net cash used in operating activities during the three months ended November 30, 2019 was $1,567,156, which resulted</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principally from NTIC’s equity in income from joint ventures, an increase in inventory and increases in trade receivables excluding joint ventures, and income tax payable, partially offset by NTIC’s net income, depreciation and amortization and an increase in accounts payable and accrued liabilities. Net cash used in operating activities during the three months ended November 30, 2018 was $738,606, which resulted principally from NTIC’s equity in income from joint ventures, an increase in inventory and increases in trade receivables excluding joint ventures, and income tax payable, partially offset by NTIC’s net income, depreciation and amortization and an increase in accounts payable and accrued liabilities.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spacing w:after="0" w:line="287" w:lineRule="auto"/>
        <w:rPr>
          <w:sz w:val="20"/>
          <w:szCs w:val="20"/>
          <w:color w:val="auto"/>
        </w:rPr>
      </w:pPr>
      <w:r>
        <w:rPr>
          <w:rFonts w:ascii="Arial" w:cs="Arial" w:eastAsia="Arial" w:hAnsi="Arial"/>
          <w:sz w:val="16"/>
          <w:szCs w:val="16"/>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169"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NTIC experienced an increase in trade receivables and inventory as of November 30, 2019 compared to August 31, 2019. Trade receivables excluding joint ventures as of November 30, 2019 increased $581,248 compared to August 31, 2019, primarily related to the timing of collections and the increase in sales.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Outstanding trade receivables excluding joint ventures balances as of November 30, 2019 decreased 1 day to an average of 67 days from balances outstanding from these customers as of August 31, 2019.</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Outstanding trade receivables from joint ventures as of November 30, 2019 decreased $182,798 compared to August 31, 2019 primarily due to the timing of payments. Outstanding balances from trade receivables from joint ventures decreased an average of 15 days from an average of 115 days from balances outstanding from these customers compared to August 31, 2019. The average days outstanding of trade receivables from joint ventures as of November 30, 2019 were primarily due to the receivables balances at NTIC’s joint ventures in South Korea, India and Thailand.</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Outstanding receivables for services provided to joint ventures as of November 30, 2019 increased $97,864 compared to August 31, 2019 and the average days to pay increased an average of 10 days from an average of 81 days compared to August 31, 2019.</w:t>
      </w:r>
    </w:p>
    <w:p>
      <w:pPr>
        <w:spacing w:after="0" w:line="17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Net cash provided by investing activities for the three months ended November 30, 2019 was $353,300, which was primarily the result of cash provided by the sale of available for sale securities, partially offset by additions to property and equipment and additions to patents. Net cash used in investing activities for the three months ended November 30, 2018 was $1,463,950, which was primarily the result of cash provided by the sale of available for sale securities, partially offset by additions to property and equipment and additions to patents.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financing activities for the three months ended November 30, 2019 was $555,271, which resulted from dividends paid on NTIC common stock, partially offset by proceeds from NTIC’s employee stock purchase plan and the exercise of stock options. Net cash used in financing activities for the three months ended November 30, 2018 was $393,346, which resulted from dividends paid on NTIC common stock, partially offset by an investment by non-controlling interest and proceeds from NTIC’s employee stock purchase plan.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right="280"/>
        <w:spacing w:after="0" w:line="302" w:lineRule="auto"/>
        <w:rPr>
          <w:sz w:val="20"/>
          <w:szCs w:val="20"/>
          <w:color w:val="auto"/>
        </w:rPr>
      </w:pPr>
      <w:r>
        <w:rPr>
          <w:rFonts w:ascii="Arial" w:cs="Arial" w:eastAsia="Arial" w:hAnsi="Arial"/>
          <w:sz w:val="16"/>
          <w:szCs w:val="16"/>
          <w:i w:val="1"/>
          <w:iCs w:val="1"/>
          <w:color w:val="auto"/>
        </w:rPr>
        <w:t>Share Repurchase Plan</w:t>
      </w:r>
      <w:r>
        <w:rPr>
          <w:rFonts w:ascii="Arial" w:cs="Arial" w:eastAsia="Arial" w:hAnsi="Arial"/>
          <w:sz w:val="16"/>
          <w:szCs w:val="16"/>
          <w:color w:val="auto"/>
        </w:rPr>
        <w:t>. On January 15, 2015, NTIC’s Board of Directors authorized the repurchase of up to $3,000,000 in shares of NTIC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open market purchases or unsolicited or solicited privately negotiated transactions. This program has no expiration date but may be terminated by NTIC’s Board of Directors at any time. No repurchases occurred during the three months ended November 30, 2019. As of November 30, 2019, up to $2,640,548 in shares of NTIC common stock remained available for repurchase under NTIC’s stock repurchase program.</w:t>
      </w:r>
    </w:p>
    <w:p>
      <w:pPr>
        <w:spacing w:after="0" w:line="154"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Cash Dividends</w:t>
      </w:r>
      <w:r>
        <w:rPr>
          <w:rFonts w:ascii="Arial" w:cs="Arial" w:eastAsia="Arial" w:hAnsi="Arial"/>
          <w:sz w:val="16"/>
          <w:szCs w:val="16"/>
          <w:color w:val="auto"/>
        </w:rPr>
        <w:t>. On October 22, 2019, NTIC’s Board of Directors declared a cash dividend of $0.065 per share of NTIC’s common stock,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 2019 to stockholders of record on November 6, 2019. Although NTIC’s Board of Directors intends to continue to declare regular quarterly cash dividends, the declaration of future dividends is not guaranteed and will be determined by NTIC’s Board of Directors in light of conditions then existing, including NTIC’s net income, financial condition, cash requirements, restrictions in financing agreements, business conditions and other factors.</w:t>
      </w:r>
    </w:p>
    <w:p>
      <w:pPr>
        <w:spacing w:after="0" w:line="15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Stock Split</w:t>
      </w:r>
      <w:r>
        <w:rPr>
          <w:rFonts w:ascii="Arial" w:cs="Arial" w:eastAsia="Arial" w:hAnsi="Arial"/>
          <w:sz w:val="16"/>
          <w:szCs w:val="16"/>
          <w:color w:val="auto"/>
        </w:rPr>
        <w:t>. On June 3, 2019, NTIC’s Board of Directors declared a two-for-one stock split of NTIC’s common stock effected in the form of a 100% share</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distributed on June 28, 2019 to record holders as of June 17, 2019. As a result of this action, approximately 4.5 million shares were issued to stockholders of record as of June 17, 2019. The par value of the common stock remains at $0.02 per share, and, accordingly, approximately $90,900 was transferred from additional paid-in capital to common stock. Net income and dividends declared per share and weighted average shares outstanding presented in this report reflect the 100 percent stock dividend. The two-for-one stock split is reflected in the share amounts in all periods presented in this report.</w:t>
      </w:r>
    </w:p>
    <w:p>
      <w:pPr>
        <w:spacing w:after="0" w:line="158"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$197,370 on capital expenditures during the three months ended November 30, 2019, which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the purchase of new equipment. NTIC expects to spend an aggregate of approximately $600,000 to $900,000 on capital expenditures during fiscal 2020, which it expects will relate primarily to the purchase of new equipment.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There has been no material change to NTIC’s contractual obligations as provided in “</w:t>
      </w:r>
      <w:r>
        <w:rPr>
          <w:rFonts w:ascii="Arial" w:cs="Arial" w:eastAsia="Arial" w:hAnsi="Arial"/>
          <w:sz w:val="16"/>
          <w:szCs w:val="16"/>
          <w:i w:val="1"/>
          <w:iCs w:val="1"/>
          <w:color w:val="auto"/>
        </w:rPr>
        <w:t>Part II. Item 7, 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Operations—Contractual Obligations</w:t>
      </w:r>
      <w:r>
        <w:rPr>
          <w:rFonts w:ascii="Arial" w:cs="Arial" w:eastAsia="Arial" w:hAnsi="Arial"/>
          <w:sz w:val="16"/>
          <w:szCs w:val="16"/>
          <w:color w:val="auto"/>
        </w:rPr>
        <w:t>,” included in NTIC’s annual report on Form 10-K for the fiscal year ended August 31,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NTIC does not have any relationships with unconsolidated entities or financial partnerships, such as entities often referred to as structured finance or special purpose entities, established for the purpose of facilitating off-balance sheet financial arrangements. As such, NTIC is not materially exposed to any financing, liquidity, market or credit risk that could arise if NTIC had engaged in such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Inflation in the United States and abroad historically has had little effect on NTIC. Although NTIC’s business historically has not been seasonal, NTIC believes there is some seasonality in its business. NTIC anticipates its net sales in the second fiscal quarter may be adversely affected by the long Chinese New Year, the North American holiday season and overall less corrosion taking place at lower winter temperatures worldwide.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November 30, 2019, NTIC had no borrowings under the line of credit.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w:t>
      </w:r>
      <w:r>
        <w:rPr>
          <w:rFonts w:ascii="Arial" w:cs="Arial" w:eastAsia="Arial" w:hAnsi="Arial"/>
          <w:sz w:val="18"/>
          <w:szCs w:val="18"/>
          <w:i w:val="1"/>
          <w:iCs w:val="1"/>
          <w:color w:val="auto"/>
        </w:rPr>
        <w:t>Part II. 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Operations—Critical Accounting Policies</w:t>
      </w:r>
      <w:r>
        <w:rPr>
          <w:rFonts w:ascii="Arial" w:cs="Arial" w:eastAsia="Arial" w:hAnsi="Arial"/>
          <w:sz w:val="18"/>
          <w:szCs w:val="18"/>
          <w:color w:val="auto"/>
        </w:rPr>
        <w:t>,” included in NTIC’s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August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not only historical information, but also forward-looking statements that are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operations of NTIC China.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Discussion and Analysis of Financial Condition and Results of Operations</w:t>
      </w:r>
      <w:r>
        <w:rPr>
          <w:rFonts w:ascii="Arial" w:cs="Arial" w:eastAsia="Arial" w:hAnsi="Arial"/>
          <w:sz w:val="17"/>
          <w:szCs w:val="17"/>
          <w:color w:val="auto"/>
        </w:rPr>
        <w:t>.”</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1" w:name="page32"/>
    <w:bookmarkEnd w:id="31"/>
    <w:p>
      <w:pPr>
        <w:ind w:right="14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980" w:right="50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and any turmoil and disruption in the global credit and financial markets on NTIC’s business;</w:t>
      </w:r>
    </w:p>
    <w:p>
      <w:pPr>
        <w:spacing w:after="0" w:line="174" w:lineRule="exact"/>
        <w:rPr>
          <w:rFonts w:ascii="Arial" w:cs="Arial" w:eastAsia="Arial" w:hAnsi="Arial"/>
          <w:sz w:val="18"/>
          <w:szCs w:val="18"/>
          <w:color w:val="auto"/>
        </w:rPr>
      </w:pPr>
    </w:p>
    <w:p>
      <w:pPr>
        <w:ind w:left="980" w:right="260" w:hanging="324"/>
        <w:spacing w:after="0" w:line="202" w:lineRule="auto"/>
        <w:tabs>
          <w:tab w:leader="none" w:pos="980" w:val="left"/>
        </w:tabs>
        <w:numPr>
          <w:ilvl w:val="0"/>
          <w:numId w:val="21"/>
        </w:numPr>
        <w:rPr>
          <w:rFonts w:ascii="Arial" w:cs="Arial" w:eastAsia="Arial" w:hAnsi="Arial"/>
          <w:sz w:val="36"/>
          <w:szCs w:val="36"/>
          <w:color w:val="auto"/>
          <w:vertAlign w:val="superscript"/>
        </w:rPr>
      </w:pPr>
      <w:r>
        <w:rPr>
          <w:rFonts w:ascii="Arial" w:cs="Arial" w:eastAsia="Arial" w:hAnsi="Arial"/>
          <w:sz w:val="18"/>
          <w:szCs w:val="18"/>
          <w:color w:val="auto"/>
        </w:rPr>
        <w:t>The variability in NTIC’s sales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the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NTIC’s equity income of joint ventures, which variability in sales and equity in income from joint venture, in turn, subject NTIC’s earnings to quarterly fluctuations;</w:t>
      </w:r>
    </w:p>
    <w:p>
      <w:pPr>
        <w:spacing w:after="0" w:line="204" w:lineRule="exact"/>
        <w:rPr>
          <w:rFonts w:ascii="Arial" w:cs="Arial" w:eastAsia="Arial" w:hAnsi="Arial"/>
          <w:sz w:val="36"/>
          <w:szCs w:val="36"/>
          <w:color w:val="auto"/>
          <w:vertAlign w:val="superscript"/>
        </w:rPr>
      </w:pPr>
    </w:p>
    <w:p>
      <w:pPr>
        <w:ind w:left="980" w:right="10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import duties, taxes and tariffs;</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the United Kingdom’s process to exit the European Union on NTIC’s operating results, including, in particular, future net sales of NTIC’s European and other joint ventures;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the health of the U.S. automotive industry on NTIC’s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980" w:right="60" w:hanging="324"/>
        <w:spacing w:after="0" w:line="18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0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28" w:lineRule="exact"/>
        <w:rPr>
          <w:rFonts w:ascii="Arial" w:cs="Arial" w:eastAsia="Arial" w:hAnsi="Arial"/>
          <w:sz w:val="18"/>
          <w:szCs w:val="18"/>
          <w:color w:val="auto"/>
        </w:rPr>
      </w:pPr>
    </w:p>
    <w:p>
      <w:pPr>
        <w:ind w:left="980" w:right="300" w:hanging="324"/>
        <w:spacing w:after="0" w:line="186" w:lineRule="auto"/>
        <w:tabs>
          <w:tab w:leader="none" w:pos="980" w:val="left"/>
        </w:tabs>
        <w:numPr>
          <w:ilvl w:val="0"/>
          <w:numId w:val="21"/>
        </w:numPr>
        <w:rPr>
          <w:rFonts w:ascii="Arial" w:cs="Arial" w:eastAsia="Arial" w:hAnsi="Arial"/>
          <w:sz w:val="36"/>
          <w:szCs w:val="36"/>
          <w:color w:val="auto"/>
          <w:vertAlign w:val="superscript"/>
        </w:rPr>
      </w:pPr>
      <w:r>
        <w:rPr>
          <w:rFonts w:ascii="Arial" w:cs="Arial" w:eastAsia="Arial" w:hAnsi="Arial"/>
          <w:sz w:val="18"/>
          <w:szCs w:val="18"/>
          <w:color w:val="auto"/>
        </w:rPr>
        <w:t>Maturation of certain existing markets for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07" w:lineRule="exact"/>
        <w:rPr>
          <w:rFonts w:ascii="Arial" w:cs="Arial" w:eastAsia="Arial" w:hAnsi="Arial"/>
          <w:sz w:val="36"/>
          <w:szCs w:val="36"/>
          <w:color w:val="auto"/>
          <w:vertAlign w:val="superscript"/>
        </w:rPr>
      </w:pPr>
    </w:p>
    <w:p>
      <w:pPr>
        <w:ind w:left="980" w:hanging="324"/>
        <w:spacing w:after="0" w:line="186" w:lineRule="auto"/>
        <w:tabs>
          <w:tab w:leader="none" w:pos="980" w:val="left"/>
        </w:tabs>
        <w:numPr>
          <w:ilvl w:val="0"/>
          <w:numId w:val="21"/>
        </w:numPr>
        <w:rPr>
          <w:rFonts w:ascii="Arial" w:cs="Arial" w:eastAsia="Arial" w:hAnsi="Arial"/>
          <w:sz w:val="36"/>
          <w:szCs w:val="36"/>
          <w:color w:val="auto"/>
          <w:vertAlign w:val="superscript"/>
        </w:rPr>
      </w:pPr>
      <w:r>
        <w:rPr>
          <w:rFonts w:ascii="Arial" w:cs="Arial" w:eastAsia="Arial" w:hAnsi="Arial"/>
          <w:sz w:val="18"/>
          <w:szCs w:val="18"/>
          <w:color w:val="auto"/>
        </w:rPr>
        <w:t>Increased competition, especially with respect to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03" w:lineRule="exact"/>
        <w:rPr>
          <w:rFonts w:ascii="Arial" w:cs="Arial" w:eastAsia="Arial" w:hAnsi="Arial"/>
          <w:sz w:val="36"/>
          <w:szCs w:val="36"/>
          <w:color w:val="auto"/>
          <w:vertAlign w:val="superscript"/>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2" w:name="page33"/>
    <w:bookmarkEnd w:id="32"/>
    <w:p>
      <w:pPr>
        <w:ind w:left="980" w:hanging="324"/>
        <w:spacing w:after="0"/>
        <w:tabs>
          <w:tab w:leader="none" w:pos="98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Oil prices, which may affect sales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the oil and gas industry;</w:t>
      </w:r>
    </w:p>
    <w:p>
      <w:pPr>
        <w:spacing w:after="0" w:line="78" w:lineRule="exact"/>
        <w:rPr>
          <w:rFonts w:ascii="Arial" w:cs="Arial" w:eastAsia="Arial" w:hAnsi="Arial"/>
          <w:sz w:val="36"/>
          <w:szCs w:val="36"/>
          <w:color w:val="auto"/>
          <w:vertAlign w:val="superscript"/>
        </w:rPr>
      </w:pPr>
    </w:p>
    <w:p>
      <w:pPr>
        <w:ind w:left="980" w:right="42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NTIC’s operations in China and the risks associated therewith, the termination of the joint venture agreements with Tianjin Zerust, and the anticipated liquidation of Tianjin Zerust and the effect of all these events on NTIC’s business and future operating results;</w:t>
      </w:r>
    </w:p>
    <w:p>
      <w:pPr>
        <w:spacing w:after="0" w:line="146" w:lineRule="exact"/>
        <w:rPr>
          <w:rFonts w:ascii="Arial" w:cs="Arial" w:eastAsia="Arial" w:hAnsi="Arial"/>
          <w:sz w:val="17"/>
          <w:szCs w:val="17"/>
          <w:color w:val="auto"/>
        </w:rPr>
      </w:pPr>
    </w:p>
    <w:p>
      <w:pPr>
        <w:ind w:left="980" w:right="30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joint venture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NTIC’s effective tax rate, including from the Tax Cuts and Jobs 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 of extreme weather conditions on NTIC’s operating results;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NTIC’s business, financial condition or operating results, see NTIC’s annual report on Form 10-K for the fiscal year ended August 31, 2019 under the heading “</w:t>
      </w:r>
      <w:r>
        <w:rPr>
          <w:rFonts w:ascii="Arial" w:cs="Arial" w:eastAsia="Arial" w:hAnsi="Arial"/>
          <w:sz w:val="17"/>
          <w:szCs w:val="17"/>
          <w:i w:val="1"/>
          <w:iCs w:val="1"/>
          <w:color w:val="auto"/>
        </w:rPr>
        <w:t>Part I. Item 1A. Risk Factors</w:t>
      </w:r>
      <w:r>
        <w:rPr>
          <w:rFonts w:ascii="Arial" w:cs="Arial" w:eastAsia="Arial" w:hAnsi="Arial"/>
          <w:sz w:val="17"/>
          <w:szCs w:val="17"/>
          <w:color w:val="auto"/>
        </w:rPr>
        <w:t>.”</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the annual reports on Form 10-K, quarterly reports on Form 10-Q and current reports on Form 8-K NTIC files with or furnishes to the Securities and Exchange Commission.</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21" w:right="279" w:bottom="1440" w:gutter="0" w:footer="0" w:header="0"/>
        </w:sectPr>
      </w:pPr>
    </w:p>
    <w:bookmarkStart w:id="33" w:name="page34"/>
    <w:bookmarkEnd w:id="33"/>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November 30, 2019, NTIC had no borrowings under the line of credit.</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Except for the implementation of certain internal controls related to the adoption of the new lease standard (Topic 842), there was no change in NTIC’s internal control over financial reporting that occurred during the quarter ended November 30, 2019 that has materially affected or is reasonably likely to materially affect NTIC’s internal control over financial reporting.</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PART II -</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March 23, 2015, NTIC and NTI Asean LLC (NTI Asean) filed a lawsuit in Tianjin No 1 Intermediate People’s Court against two individuals, Tao Meng and Xu Hui, related to breaches of duties and contractual commitments owed to NTI Asean under certain agreements related to NTIC’s former joint venture in China, Tianjin Zerust Anti-Corrosion Technologies Ltd. (Tianjin Zerust). The lawsuit alleges, among other things, that Mr. Tao Meng and Mr. Xu Hui have engaged in self-dealing, usurped business opportunities, and received economic benefits that were required to go to Tianjin Zerust. As of November 30, 2019, NTIC is not able to reasonably estimate the amount of any recovery to NTI Asean, if any.</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three months ended November 30, 2019, NTIC did not issue any shares of its common stock or other equity securities of NTIC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NTIC’s first quarter of fiscal 2020 stock repurchase activity.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720" w:type="dxa"/>
            <w:vAlign w:val="bottom"/>
            <w:tcBorders>
              <w:top w:val="single" w:sz="8" w:color="auto"/>
              <w:left w:val="single" w:sz="8" w:color="auto"/>
              <w:right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472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472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Purchased As</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Shares (or Units)</w:t>
            </w:r>
          </w:p>
        </w:tc>
      </w:tr>
      <w:tr>
        <w:trPr>
          <w:trHeight w:val="216"/>
        </w:trPr>
        <w:tc>
          <w:tcPr>
            <w:tcW w:w="472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472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472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 Units)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Plans or</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4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(or Unit)</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23"/>
        </w:trPr>
        <w:tc>
          <w:tcPr>
            <w:tcW w:w="47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1, 2019 through September 30, 2019</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600" w:type="dxa"/>
            <w:vAlign w:val="bottom"/>
            <w:tcBorders>
              <w:bottom w:val="single" w:sz="8" w:color="auto"/>
              <w:right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$0</w:t>
            </w:r>
          </w:p>
        </w:tc>
        <w:tc>
          <w:tcPr>
            <w:tcW w:w="1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23"/>
        </w:trPr>
        <w:tc>
          <w:tcPr>
            <w:tcW w:w="4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October 1, 2019 through October 31, 2019</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60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23"/>
        </w:trPr>
        <w:tc>
          <w:tcPr>
            <w:tcW w:w="47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November 1, 2019 through November 30, 2019</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600" w:type="dxa"/>
            <w:vAlign w:val="bottom"/>
            <w:tcBorders>
              <w:bottom w:val="single" w:sz="8" w:color="auto"/>
              <w:right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$0</w:t>
            </w:r>
          </w:p>
        </w:tc>
        <w:tc>
          <w:tcPr>
            <w:tcW w:w="1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23"/>
        </w:trPr>
        <w:tc>
          <w:tcPr>
            <w:tcW w:w="4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60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r>
    </w:tbl>
    <w:p>
      <w:pPr>
        <w:spacing w:after="0" w:line="202" w:lineRule="exact"/>
        <w:rPr>
          <w:sz w:val="20"/>
          <w:szCs w:val="20"/>
          <w:color w:val="auto"/>
        </w:rPr>
      </w:pPr>
    </w:p>
    <w:p>
      <w:pPr>
        <w:ind w:left="660" w:right="44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1" w:lineRule="exact"/>
        <w:rPr>
          <w:rFonts w:ascii="Arial" w:cs="Arial" w:eastAsia="Arial" w:hAnsi="Arial"/>
          <w:sz w:val="18"/>
          <w:szCs w:val="18"/>
          <w:color w:val="auto"/>
        </w:rPr>
      </w:pPr>
    </w:p>
    <w:p>
      <w:pPr>
        <w:ind w:left="660" w:right="3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November 30, 2019, up to $2,640,548 in shares of NTIC common stock remained available for repurchase under NTIC’s stock repurchase program.</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16"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1" w:lineRule="exact"/>
        <w:rPr>
          <w:sz w:val="20"/>
          <w:szCs w:val="20"/>
          <w:color w:val="auto"/>
        </w:rPr>
      </w:pPr>
    </w:p>
    <w:p>
      <w:pPr>
        <w:ind w:left="1260" w:right="500" w:hanging="892"/>
        <w:spacing w:after="0" w:line="258" w:lineRule="auto"/>
        <w:tabs>
          <w:tab w:leader="none" w:pos="1240" w:val="left"/>
        </w:tabs>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38">
        <w:r>
          <w:rPr>
            <w:rFonts w:ascii="Arial" w:cs="Arial" w:eastAsia="Arial" w:hAnsi="Arial"/>
            <w:sz w:val="18"/>
            <w:szCs w:val="18"/>
            <w:u w:val="single" w:color="auto"/>
            <w:color w:val="0000EE"/>
          </w:rPr>
          <w:t>Letter Agreement dated as of December 16, 2019 between PNC Bank, National Association and Northern Technologies International</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Corporation (filed herewith)</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60" w:right="220" w:hanging="892"/>
        <w:spacing w:after="0" w:line="250" w:lineRule="auto"/>
        <w:tabs>
          <w:tab w:leader="none" w:pos="1240" w:val="left"/>
        </w:tabs>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39">
        <w:r>
          <w:rPr>
            <w:rFonts w:ascii="Arial" w:cs="Arial" w:eastAsia="Arial" w:hAnsi="Arial"/>
            <w:sz w:val="18"/>
            <w:szCs w:val="18"/>
            <w:u w:val="single" w:color="auto"/>
            <w:color w:val="0000EE"/>
          </w:rPr>
          <w:t>Certification of Chief Executive Officer Pursuant to Exchange Act Rules 13a-14(a)/15d-14(a), as Adopted Pursuant to Section 302 of the</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Sarbanes-Oxley Act of 2002 (filed herewith)</w:t>
        </w:r>
      </w:hyperlink>
    </w:p>
    <w:p>
      <w:pPr>
        <w:spacing w:after="0" w:line="1" w:lineRule="exact"/>
        <w:rPr>
          <w:rFonts w:ascii="Arial" w:cs="Arial" w:eastAsia="Arial" w:hAnsi="Arial"/>
          <w:sz w:val="18"/>
          <w:szCs w:val="18"/>
          <w:u w:val="single" w:color="auto"/>
          <w:color w:val="0000EE"/>
        </w:rPr>
      </w:pPr>
    </w:p>
    <w:p>
      <w:pPr>
        <w:ind w:left="1260" w:right="260" w:hanging="892"/>
        <w:spacing w:after="0" w:line="250" w:lineRule="auto"/>
        <w:tabs>
          <w:tab w:leader="none" w:pos="1240" w:val="left"/>
        </w:tabs>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40">
        <w:r>
          <w:rPr>
            <w:rFonts w:ascii="Arial" w:cs="Arial" w:eastAsia="Arial" w:hAnsi="Arial"/>
            <w:sz w:val="18"/>
            <w:szCs w:val="18"/>
            <w:u w:val="single" w:color="auto"/>
            <w:color w:val="0000EE"/>
          </w:rPr>
          <w:t>Certification of Chief Financial Officer Pursuant to Exchange Act Rules 13a-14(a)/15d-14(a), as Adopted Pursuant to Section 302 of the</w:t>
        </w:r>
      </w:hyperlink>
      <w:r>
        <w:rPr>
          <w:rFonts w:ascii="Arial" w:cs="Arial" w:eastAsia="Arial" w:hAnsi="Arial"/>
          <w:sz w:val="18"/>
          <w:szCs w:val="18"/>
          <w:u w:val="single" w:color="auto"/>
          <w:color w:val="0000EE"/>
        </w:rPr>
        <w:t xml:space="preserve"> </w:t>
      </w:r>
      <w:hyperlink w:anchor="page40">
        <w:r>
          <w:rPr>
            <w:rFonts w:ascii="Arial" w:cs="Arial" w:eastAsia="Arial" w:hAnsi="Arial"/>
            <w:sz w:val="18"/>
            <w:szCs w:val="18"/>
            <w:u w:val="single" w:color="auto"/>
            <w:color w:val="0000EE"/>
          </w:rPr>
          <w:t>Sarbanes-Oxley Act of 2002 (filed herewith)</w:t>
        </w:r>
      </w:hyperlink>
    </w:p>
    <w:p>
      <w:pPr>
        <w:spacing w:after="0" w:line="1" w:lineRule="exact"/>
        <w:rPr>
          <w:rFonts w:ascii="Arial" w:cs="Arial" w:eastAsia="Arial" w:hAnsi="Arial"/>
          <w:sz w:val="18"/>
          <w:szCs w:val="18"/>
          <w:u w:val="single" w:color="auto"/>
          <w:color w:val="0000EE"/>
        </w:rPr>
      </w:pPr>
    </w:p>
    <w:p>
      <w:pPr>
        <w:ind w:left="1260" w:hanging="892"/>
        <w:spacing w:after="0" w:line="250" w:lineRule="auto"/>
        <w:tabs>
          <w:tab w:leader="none" w:pos="1240" w:val="left"/>
        </w:tabs>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41">
        <w:r>
          <w:rPr>
            <w:rFonts w:ascii="Arial" w:cs="Arial" w:eastAsia="Arial" w:hAnsi="Arial"/>
            <w:sz w:val="18"/>
            <w:szCs w:val="18"/>
            <w:u w:val="single" w:color="auto"/>
            <w:color w:val="0000EE"/>
          </w:rPr>
          <w:t>Certification of Chief Executive Officer Pursuant to 18 U.S.C. Section 1350, as Adopted Pursuant to Section 906 of the Sarbanes-Oxley Act</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of 2002 (furnished herewith)</w:t>
        </w:r>
      </w:hyperlink>
    </w:p>
    <w:p>
      <w:pPr>
        <w:spacing w:after="0" w:line="1" w:lineRule="exact"/>
        <w:rPr>
          <w:rFonts w:ascii="Arial" w:cs="Arial" w:eastAsia="Arial" w:hAnsi="Arial"/>
          <w:sz w:val="18"/>
          <w:szCs w:val="18"/>
          <w:u w:val="single" w:color="auto"/>
          <w:color w:val="0000EE"/>
        </w:rPr>
      </w:pPr>
    </w:p>
    <w:p>
      <w:pPr>
        <w:ind w:left="1260" w:right="40" w:hanging="892"/>
        <w:spacing w:after="0" w:line="250" w:lineRule="auto"/>
        <w:tabs>
          <w:tab w:leader="none" w:pos="1240" w:val="left"/>
        </w:tabs>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42">
        <w:r>
          <w:rPr>
            <w:rFonts w:ascii="Arial" w:cs="Arial" w:eastAsia="Arial" w:hAnsi="Arial"/>
            <w:sz w:val="18"/>
            <w:szCs w:val="18"/>
            <w:u w:val="single" w:color="auto"/>
            <w:color w:val="0000EE"/>
          </w:rPr>
          <w:t>Certification of Chief Financial Officer Pursuant to 18 U.S.C. Section 1350, as Adopted Pursuant to Section 906 of the Sarbanes-Oxley Act</w:t>
        </w:r>
      </w:hyperlink>
      <w:r>
        <w:rPr>
          <w:rFonts w:ascii="Arial" w:cs="Arial" w:eastAsia="Arial" w:hAnsi="Arial"/>
          <w:sz w:val="18"/>
          <w:szCs w:val="18"/>
          <w:u w:val="single" w:color="auto"/>
          <w:color w:val="0000EE"/>
        </w:rPr>
        <w:t xml:space="preserve"> </w:t>
      </w:r>
      <w:hyperlink w:anchor="page42">
        <w:r>
          <w:rPr>
            <w:rFonts w:ascii="Arial" w:cs="Arial" w:eastAsia="Arial" w:hAnsi="Arial"/>
            <w:sz w:val="18"/>
            <w:szCs w:val="18"/>
            <w:u w:val="single" w:color="auto"/>
            <w:color w:val="0000EE"/>
          </w:rPr>
          <w:t>of 2002 (furnished herewith)</w:t>
        </w:r>
      </w:hyperlink>
    </w:p>
    <w:p>
      <w:pPr>
        <w:spacing w:after="0" w:line="1" w:lineRule="exact"/>
        <w:rPr>
          <w:rFonts w:ascii="Arial" w:cs="Arial" w:eastAsia="Arial" w:hAnsi="Arial"/>
          <w:sz w:val="18"/>
          <w:szCs w:val="18"/>
          <w:u w:val="single" w:color="auto"/>
          <w:color w:val="0000EE"/>
        </w:rPr>
      </w:pPr>
    </w:p>
    <w:p>
      <w:pPr>
        <w:ind w:left="1260" w:right="80" w:hanging="867"/>
        <w:spacing w:after="0" w:line="295" w:lineRule="auto"/>
        <w:tabs>
          <w:tab w:leader="none" w:pos="1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following materials from NTIC’s Quarterly Report on Form 10-Q for the fiscal quarter ended November 30, 2019, formatted in XBRL (Extensible Business Reporting Language): (i) the unaudited Consolidated Balance Sheets, (ii) the unaudited Consolidated Statements of Operations, (iii) the unaudited Consolidated Statements of Comprehensive Income (Loss), (iv) the unaudited Consolidated Statements of Equity, (v) the unaudited Consolidated Statements of Cash Flows, and (vi) Notes to Consolidated Financial Statements (filed herewith)</w:t>
      </w:r>
    </w:p>
    <w:p>
      <w:pPr>
        <w:spacing w:after="0" w:line="270" w:lineRule="exact"/>
        <w:rPr>
          <w:rFonts w:ascii="Arial" w:cs="Arial" w:eastAsia="Arial" w:hAnsi="Arial"/>
          <w:sz w:val="18"/>
          <w:szCs w:val="18"/>
          <w:u w:val="single" w:color="auto"/>
          <w:color w:val="0000EE"/>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-121920</wp:posOffset>
            </wp:positionV>
            <wp:extent cx="3507740" cy="892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07740"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Financial and Accounting Officer and</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174" w:lineRule="exact"/>
        <w:rPr>
          <w:sz w:val="20"/>
          <w:szCs w:val="20"/>
          <w:color w:val="auto"/>
        </w:rPr>
      </w:pPr>
    </w:p>
    <w:p>
      <w:pPr>
        <w:spacing w:after="0"/>
        <w:rPr>
          <w:sz w:val="20"/>
          <w:szCs w:val="20"/>
          <w:color w:val="auto"/>
        </w:rPr>
      </w:pPr>
      <w:r>
        <w:rPr>
          <w:sz w:val="1"/>
          <w:szCs w:val="1"/>
          <w:color w:val="auto"/>
        </w:rPr>
        <w:drawing>
          <wp:inline distT="0" distB="0" distL="0" distR="0">
            <wp:extent cx="317500" cy="3175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7500" cy="317500"/>
                    </a:xfrm>
                    <a:prstGeom prst="rect">
                      <a:avLst/>
                    </a:prstGeom>
                    <a:noFill/>
                    <a:ln>
                      <a:noFill/>
                    </a:ln>
                  </pic:spPr>
                </pic:pic>
              </a:graphicData>
            </a:graphic>
          </wp:inline>
        </w:drawing>
      </w:r>
      <w:r>
        <w:rPr>
          <w:rFonts w:ascii="Arial" w:cs="Arial" w:eastAsia="Arial" w:hAnsi="Arial"/>
          <w:sz w:val="43"/>
          <w:szCs w:val="43"/>
          <w:color w:val="auto"/>
        </w:rPr>
        <w:t xml:space="preserve"> PNC BANK</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December 16,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Circle Pines, MN 55014-1794</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Renewal of Expiration Date for that certain $3,000,000.00 Committed Line of Credit ("</w:t>
      </w:r>
      <w:r>
        <w:rPr>
          <w:rFonts w:ascii="Arial" w:cs="Arial" w:eastAsia="Arial" w:hAnsi="Arial"/>
          <w:sz w:val="18"/>
          <w:szCs w:val="18"/>
          <w:b w:val="1"/>
          <w:bCs w:val="1"/>
          <w:color w:val="auto"/>
        </w:rPr>
        <w:t>Line of Credit</w:t>
      </w:r>
      <w:r>
        <w:rPr>
          <w:rFonts w:ascii="Arial" w:cs="Arial" w:eastAsia="Arial" w:hAnsi="Arial"/>
          <w:sz w:val="18"/>
          <w:szCs w:val="18"/>
          <w:color w:val="auto"/>
        </w:rPr>
        <w:t>") extended by PNC Bank, National Association (the "</w:t>
      </w:r>
      <w:r>
        <w:rPr>
          <w:rFonts w:ascii="Arial" w:cs="Arial" w:eastAsia="Arial" w:hAnsi="Arial"/>
          <w:sz w:val="18"/>
          <w:szCs w:val="18"/>
          <w:b w:val="1"/>
          <w:bCs w:val="1"/>
          <w:color w:val="auto"/>
        </w:rPr>
        <w:t>Bank</w:t>
      </w:r>
      <w:r>
        <w:rPr>
          <w:rFonts w:ascii="Arial" w:cs="Arial" w:eastAsia="Arial" w:hAnsi="Arial"/>
          <w:sz w:val="18"/>
          <w:szCs w:val="18"/>
          <w:color w:val="auto"/>
        </w:rPr>
        <w:t xml:space="preserve">") to </w:t>
      </w:r>
      <w:r>
        <w:rPr>
          <w:rFonts w:ascii="Arial" w:cs="Arial" w:eastAsia="Arial" w:hAnsi="Arial"/>
          <w:sz w:val="18"/>
          <w:szCs w:val="18"/>
          <w:b w:val="1"/>
          <w:bCs w:val="1"/>
          <w:color w:val="auto"/>
        </w:rPr>
        <w:t>NORTHERN TECHNOLOGIES INTERNATIONAL CORPORATION</w:t>
      </w:r>
      <w:r>
        <w:rPr>
          <w:rFonts w:ascii="Arial" w:cs="Arial" w:eastAsia="Arial" w:hAnsi="Arial"/>
          <w:sz w:val="18"/>
          <w:szCs w:val="18"/>
          <w:color w:val="auto"/>
        </w:rPr>
        <w:t xml:space="preserve">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66" w:lineRule="exact"/>
        <w:rPr>
          <w:sz w:val="20"/>
          <w:szCs w:val="20"/>
          <w:color w:val="auto"/>
        </w:rPr>
      </w:pPr>
    </w:p>
    <w:p>
      <w:pPr>
        <w:sectPr>
          <w:pgSz w:w="11900" w:h="16838" w:orient="portrait"/>
          <w:cols w:equalWidth="0" w:num="2">
            <w:col w:w="260" w:space="400"/>
            <w:col w:w="10760"/>
          </w:cols>
          <w:pgMar w:left="240" w:top="121" w:right="239" w:bottom="1440" w:gutter="0" w:footer="0" w:header="0"/>
          <w:type w:val="continuous"/>
        </w:sectPr>
      </w:pPr>
    </w:p>
    <w:p>
      <w:pPr>
        <w:jc w:val="both"/>
        <w:ind w:firstLine="648"/>
        <w:spacing w:after="0" w:line="255" w:lineRule="auto"/>
        <w:rPr>
          <w:sz w:val="20"/>
          <w:szCs w:val="20"/>
          <w:color w:val="auto"/>
        </w:rPr>
      </w:pPr>
      <w:r>
        <w:rPr>
          <w:rFonts w:ascii="Arial" w:cs="Arial" w:eastAsia="Arial" w:hAnsi="Arial"/>
          <w:sz w:val="18"/>
          <w:szCs w:val="18"/>
          <w:color w:val="auto"/>
        </w:rPr>
        <w:t>We are pleased to inform you that the Line of Credit has been renewed. The Expiration Date of the Line of Credit, as set forth in that certain promissory note executed and delivered by the Borrower to the Bank dated December 14, 2006 (the "</w:t>
      </w:r>
      <w:r>
        <w:rPr>
          <w:rFonts w:ascii="Arial" w:cs="Arial" w:eastAsia="Arial" w:hAnsi="Arial"/>
          <w:sz w:val="18"/>
          <w:szCs w:val="18"/>
          <w:b w:val="1"/>
          <w:bCs w:val="1"/>
          <w:color w:val="auto"/>
        </w:rPr>
        <w:t>Note</w:t>
      </w:r>
      <w:r>
        <w:rPr>
          <w:rFonts w:ascii="Arial" w:cs="Arial" w:eastAsia="Arial" w:hAnsi="Arial"/>
          <w:sz w:val="18"/>
          <w:szCs w:val="18"/>
          <w:color w:val="auto"/>
        </w:rPr>
        <w:t>") and/or that certain loan agreement governing the Line of Credit (the "</w:t>
      </w:r>
      <w:r>
        <w:rPr>
          <w:rFonts w:ascii="Arial" w:cs="Arial" w:eastAsia="Arial" w:hAnsi="Arial"/>
          <w:sz w:val="18"/>
          <w:szCs w:val="18"/>
          <w:b w:val="1"/>
          <w:bCs w:val="1"/>
          <w:color w:val="auto"/>
        </w:rPr>
        <w:t>Loan Agreement</w:t>
      </w:r>
      <w:r>
        <w:rPr>
          <w:rFonts w:ascii="Arial" w:cs="Arial" w:eastAsia="Arial" w:hAnsi="Arial"/>
          <w:sz w:val="18"/>
          <w:szCs w:val="18"/>
          <w:color w:val="auto"/>
        </w:rPr>
        <w:t>"), has been extended from January 07, 2019 to January 07, 2020, or such later date as may, in the Bank's sole discretion, be designated by the Bank by written notice from the Bank to the Borrower, effective on January 08, 2019. All sums due under the Note, the Loan Agreement or any related documents, instruments and agreements (collectively as amended from time to time, the "</w:t>
      </w:r>
      <w:r>
        <w:rPr>
          <w:rFonts w:ascii="Arial" w:cs="Arial" w:eastAsia="Arial" w:hAnsi="Arial"/>
          <w:sz w:val="18"/>
          <w:szCs w:val="18"/>
          <w:b w:val="1"/>
          <w:bCs w:val="1"/>
          <w:color w:val="auto"/>
        </w:rPr>
        <w:t>Loan Documents</w:t>
      </w:r>
      <w:r>
        <w:rPr>
          <w:rFonts w:ascii="Arial" w:cs="Arial" w:eastAsia="Arial" w:hAnsi="Arial"/>
          <w:sz w:val="18"/>
          <w:szCs w:val="18"/>
          <w:color w:val="auto"/>
        </w:rPr>
        <w:t>") shall be due and payable on the Expiration Date, as extended hereby. All other terms and conditions of the Loan Documents governing the Line of Credit remain in full force and effect.</w:t>
      </w:r>
    </w:p>
    <w:p>
      <w:pPr>
        <w:spacing w:after="0" w:line="189" w:lineRule="exact"/>
        <w:rPr>
          <w:sz w:val="20"/>
          <w:szCs w:val="20"/>
          <w:color w:val="auto"/>
        </w:rPr>
      </w:pPr>
    </w:p>
    <w:p>
      <w:pPr>
        <w:ind w:right="60" w:firstLine="519"/>
        <w:spacing w:after="0" w:line="255" w:lineRule="auto"/>
        <w:rPr>
          <w:sz w:val="20"/>
          <w:szCs w:val="20"/>
          <w:color w:val="auto"/>
        </w:rPr>
      </w:pPr>
      <w:r>
        <w:rPr>
          <w:rFonts w:ascii="Arial" w:cs="Arial" w:eastAsia="Arial" w:hAnsi="Arial"/>
          <w:sz w:val="18"/>
          <w:szCs w:val="18"/>
          <w:color w:val="auto"/>
        </w:rPr>
        <w:t>We are pleased to inform you that the Line of Credit has been renewed. The Expiration Date of the Line of Credit, as set forth in that certain promissory note executed and delivered by the Borrower to the Bank dated December 14, 2006 (the "</w:t>
      </w:r>
      <w:r>
        <w:rPr>
          <w:rFonts w:ascii="Arial" w:cs="Arial" w:eastAsia="Arial" w:hAnsi="Arial"/>
          <w:sz w:val="18"/>
          <w:szCs w:val="18"/>
          <w:b w:val="1"/>
          <w:bCs w:val="1"/>
          <w:color w:val="auto"/>
        </w:rPr>
        <w:t>Note</w:t>
      </w:r>
      <w:r>
        <w:rPr>
          <w:rFonts w:ascii="Arial" w:cs="Arial" w:eastAsia="Arial" w:hAnsi="Arial"/>
          <w:sz w:val="18"/>
          <w:szCs w:val="18"/>
          <w:color w:val="auto"/>
        </w:rPr>
        <w:t>") and/or that certain loan agreement governing the Line of Credit (the "</w:t>
      </w:r>
      <w:r>
        <w:rPr>
          <w:rFonts w:ascii="Arial" w:cs="Arial" w:eastAsia="Arial" w:hAnsi="Arial"/>
          <w:sz w:val="18"/>
          <w:szCs w:val="18"/>
          <w:b w:val="1"/>
          <w:bCs w:val="1"/>
          <w:color w:val="auto"/>
        </w:rPr>
        <w:t>Loan Agreement</w:t>
      </w:r>
      <w:r>
        <w:rPr>
          <w:rFonts w:ascii="Arial" w:cs="Arial" w:eastAsia="Arial" w:hAnsi="Arial"/>
          <w:sz w:val="18"/>
          <w:szCs w:val="18"/>
          <w:color w:val="auto"/>
        </w:rPr>
        <w:t>"), has been extended from January 07, 2020 to January 07, 2021, or such later date as may, in the Bank's sole discretion, be designated by the Bank by written notice from the Bank to the Borrower, effective on January 08, 2020. All sums due under the Note, the Loan Agreement or any related documents, instruments and agreements (collectively as amended from time to time, the "Loan Documents") shall be due and payable on the Expiration Date, as extended hereby. All other terms and conditions of the Loan Documents governing the Line of Credit remain in full force and effect.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has been a pleasure working with you and I look forward to a continued successful relationship. Thank you again for your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BANK, NATIONAL ASSOCIATION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Yelena Spadafora</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Yelena Spadafora</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right="180" w:hanging="6"/>
        <w:spacing w:after="0" w:line="264" w:lineRule="auto"/>
        <w:tabs>
          <w:tab w:leader="none" w:pos="101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right="400" w:hanging="6"/>
        <w:spacing w:after="0" w:line="264" w:lineRule="auto"/>
        <w:tabs>
          <w:tab w:leader="none" w:pos="102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700" w:hanging="6"/>
        <w:spacing w:after="0" w:line="342" w:lineRule="auto"/>
        <w:tabs>
          <w:tab w:leader="none" w:pos="1015"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180" w:hanging="6"/>
        <w:spacing w:after="0" w:line="264" w:lineRule="auto"/>
        <w:tabs>
          <w:tab w:leader="none" w:pos="102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100" w:hanging="6"/>
        <w:spacing w:after="0" w:line="277" w:lineRule="auto"/>
        <w:tabs>
          <w:tab w:leader="none" w:pos="10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60"/>
        <w:spacing w:after="0" w:line="277"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-121920</wp:posOffset>
            </wp:positionV>
            <wp:extent cx="1732280" cy="1974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32280" cy="197485"/>
                    </a:xfrm>
                    <a:prstGeom prst="rect">
                      <a:avLst/>
                    </a:prstGeom>
                    <a:noFill/>
                  </pic:spPr>
                </pic:pic>
              </a:graphicData>
            </a:graphic>
          </wp:anchor>
        </w:drawing>
      </w:r>
    </w:p>
    <w:p>
      <w:pPr>
        <w:spacing w:after="0" w:line="9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-130175</wp:posOffset>
            </wp:positionV>
            <wp:extent cx="23837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80" w:right="100" w:hanging="5"/>
        <w:spacing w:after="0" w:line="264" w:lineRule="auto"/>
        <w:tabs>
          <w:tab w:leader="none" w:pos="109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80" w:right="320" w:hanging="5"/>
        <w:spacing w:after="0" w:line="264" w:lineRule="auto"/>
        <w:tabs>
          <w:tab w:leader="none" w:pos="110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620" w:hanging="5"/>
        <w:spacing w:after="0" w:line="342" w:lineRule="auto"/>
        <w:tabs>
          <w:tab w:leader="none" w:pos="1095"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80" w:right="100" w:hanging="5"/>
        <w:spacing w:after="0" w:line="264" w:lineRule="auto"/>
        <w:tabs>
          <w:tab w:leader="none" w:pos="110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80" w:right="20" w:hanging="5"/>
        <w:spacing w:after="0" w:line="277" w:lineRule="auto"/>
        <w:tabs>
          <w:tab w:leader="none" w:pos="108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right="540" w:hanging="5"/>
        <w:spacing w:after="0" w:line="277" w:lineRule="auto"/>
        <w:tabs>
          <w:tab w:leader="none" w:pos="109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-121920</wp:posOffset>
            </wp:positionV>
            <wp:extent cx="2383790" cy="437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83790" cy="43751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Chief Financial Officer and Corporate Secretary</w:t>
      </w:r>
    </w:p>
    <w:p>
      <w:pPr>
        <w:spacing w:after="0" w:line="2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ind w:left="10480"/>
        <w:spacing w:after="0"/>
        <w:rPr>
          <w:sz w:val="20"/>
          <w:szCs w:val="20"/>
          <w:color w:val="auto"/>
        </w:rPr>
      </w:pPr>
      <w:r>
        <w:rPr>
          <w:rFonts w:ascii="Arial" w:cs="Arial" w:eastAsia="Arial" w:hAnsi="Arial"/>
          <w:sz w:val="16"/>
          <w:szCs w:val="16"/>
          <w:b w:val="1"/>
          <w:bCs w:val="1"/>
          <w:color w:val="auto"/>
        </w:rPr>
        <w:t>Exhibit 32.1</w:t>
      </w:r>
    </w:p>
    <w:p>
      <w:pPr>
        <w:spacing w:after="0" w:line="239" w:lineRule="exact"/>
        <w:rPr>
          <w:sz w:val="20"/>
          <w:szCs w:val="20"/>
          <w:color w:val="auto"/>
        </w:rPr>
      </w:pPr>
    </w:p>
    <w:p>
      <w:pPr>
        <w:jc w:val="center"/>
        <w:ind w:left="260" w:right="140"/>
        <w:spacing w:after="0" w:line="256"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November 30, 2019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7"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2392680" cy="3600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92680" cy="3600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ind w:left="10480"/>
        <w:spacing w:after="0"/>
        <w:rPr>
          <w:sz w:val="20"/>
          <w:szCs w:val="20"/>
          <w:color w:val="auto"/>
        </w:rPr>
      </w:pPr>
      <w:r>
        <w:rPr>
          <w:rFonts w:ascii="Arial" w:cs="Arial" w:eastAsia="Arial" w:hAnsi="Arial"/>
          <w:sz w:val="16"/>
          <w:szCs w:val="16"/>
          <w:b w:val="1"/>
          <w:bCs w:val="1"/>
          <w:color w:val="auto"/>
        </w:rPr>
        <w:t>Exhibit 32.2</w:t>
      </w:r>
    </w:p>
    <w:p>
      <w:pPr>
        <w:spacing w:after="0" w:line="239" w:lineRule="exact"/>
        <w:rPr>
          <w:sz w:val="20"/>
          <w:szCs w:val="20"/>
          <w:color w:val="auto"/>
        </w:rPr>
      </w:pPr>
    </w:p>
    <w:p>
      <w:pPr>
        <w:jc w:val="center"/>
        <w:ind w:left="260" w:right="140"/>
        <w:spacing w:after="0" w:line="256"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November 30, 2019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209040" cy="7029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904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926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4"/>
    </w:lvl>
  </w:abstractNum>
  <w:abstractNum w:abstractNumId="6">
    <w:nsid w:val="431BD7B7"/>
    <w:multiLevelType w:val="hybridMultilevel"/>
    <w:lvl w:ilvl="0">
      <w:lvlJc w:val="left"/>
      <w:lvlText w:val="%1."/>
      <w:numFmt w:val="decimal"/>
      <w:start w:val="5"/>
    </w:lvl>
  </w:abstractNum>
  <w:abstractNum w:abstractNumId="7">
    <w:nsid w:val="3F2DBA31"/>
    <w:multiLevelType w:val="hybridMultilevel"/>
    <w:lvl w:ilvl="0">
      <w:lvlJc w:val="left"/>
      <w:lvlText w:val="%1."/>
      <w:numFmt w:val="decimal"/>
      <w:start w:val="6"/>
    </w:lvl>
  </w:abstractNum>
  <w:abstractNum w:abstractNumId="8">
    <w:nsid w:val="7C83E458"/>
    <w:multiLevelType w:val="hybridMultilevel"/>
    <w:lvl w:ilvl="0">
      <w:lvlJc w:val="left"/>
      <w:lvlText w:val="%1."/>
      <w:numFmt w:val="decimal"/>
      <w:start w:val="7"/>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1."/>
      <w:numFmt w:val="decimal"/>
      <w:start w:val="8"/>
    </w:lvl>
  </w:abstractNum>
  <w:abstractNum w:abstractNumId="11">
    <w:nsid w:val="436C6125"/>
    <w:multiLevelType w:val="hybridMultilevel"/>
    <w:lvl w:ilvl="0">
      <w:lvlJc w:val="left"/>
      <w:lvlText w:val="%1."/>
      <w:numFmt w:val="decimal"/>
      <w:start w:val="9"/>
    </w:lvl>
  </w:abstractNum>
  <w:abstractNum w:abstractNumId="12">
    <w:nsid w:val="628C895D"/>
    <w:multiLevelType w:val="hybridMultilevel"/>
    <w:lvl w:ilvl="0">
      <w:lvlJc w:val="left"/>
      <w:lvlText w:val="%1."/>
      <w:numFmt w:val="decimal"/>
      <w:start w:val="10"/>
    </w:lvl>
  </w:abstractNum>
  <w:abstractNum w:abstractNumId="13">
    <w:nsid w:val="333AB105"/>
    <w:multiLevelType w:val="hybridMultilevel"/>
    <w:lvl w:ilvl="0">
      <w:lvlJc w:val="left"/>
      <w:lvlText w:val="%1."/>
      <w:numFmt w:val="decimal"/>
      <w:start w:val="1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2"/>
    </w:lvl>
  </w:abstractNum>
  <w:abstractNum w:abstractNumId="16">
    <w:nsid w:val="2D1D5AE9"/>
    <w:multiLevelType w:val="hybridMultilevel"/>
    <w:lvl w:ilvl="0">
      <w:lvlJc w:val="left"/>
      <w:lvlText w:val="%1."/>
      <w:numFmt w:val="decimal"/>
      <w:start w:val="13"/>
    </w:lvl>
  </w:abstractNum>
  <w:abstractNum w:abstractNumId="17">
    <w:nsid w:val="6763845E"/>
    <w:multiLevelType w:val="hybridMultilevel"/>
    <w:lvl w:ilvl="0">
      <w:lvlJc w:val="left"/>
      <w:lvlText w:val="%1."/>
      <w:numFmt w:val="decimal"/>
      <w:start w:val="14"/>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01"/>
    </w:lvl>
  </w:abstractNum>
  <w:abstractNum w:abstractNumId="24">
    <w:nsid w:val="54E49EB4"/>
    <w:multiLevelType w:val="hybridMultilevel"/>
    <w:lvl w:ilvl="0">
      <w:lvlJc w:val="left"/>
      <w:lvlText w:val="%1."/>
      <w:numFmt w:val="decimal"/>
      <w:start w:val="1"/>
    </w:lvl>
    <w:lvl w:ilvl="1">
      <w:lvlJc w:val="left"/>
      <w:lvlText w:val="(%2)"/>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upperLetter"/>
      <w:start w:val="1"/>
    </w:lvl>
    <w:lvl w:ilvl="1">
      <w:lvlJc w:val="left"/>
      <w:lvlText w:val="(%2)"/>
      <w:numFmt w:val="decimal"/>
      <w:start w:val="1"/>
    </w:lvl>
  </w:abstractNum>
  <w:abstractNum w:abstractNumId="27">
    <w:nsid w:val="836C40E"/>
    <w:multiLevelType w:val="hybridMultilevel"/>
    <w:lvl w:ilvl="0">
      <w:lvlJc w:val="left"/>
      <w:lvlText w:val="%1."/>
      <w:numFmt w:val="upperLetter"/>
      <w:start w:val="7"/>
    </w:lvl>
    <w:lvl w:ilvl="1">
      <w:lvlJc w:val="left"/>
      <w:lvlText w:val="%2"/>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2020-01-08T08:23:44Z</dcterms:created>
  <dcterms:modified xsi:type="dcterms:W3CDTF">2020-01-08T08:23:44Z</dcterms:modified>
</cp:coreProperties>
</file>