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10-QSB</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128"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For the quarterly period ended</w:t>
      </w:r>
    </w:p>
    <w:p>
      <w:pPr>
        <w:spacing w:after="0" w:line="158"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February 28, 2007</w:t>
      </w:r>
    </w:p>
    <w:p>
      <w:pPr>
        <w:spacing w:after="0" w:line="14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152"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For the transition period from ________________ to __________________.</w:t>
      </w:r>
    </w:p>
    <w:p>
      <w:pPr>
        <w:spacing w:after="0" w:line="158"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Commission file number 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3081655</wp:posOffset>
            </wp:positionH>
            <wp:positionV relativeFrom="paragraph">
              <wp:posOffset>175895</wp:posOffset>
            </wp:positionV>
            <wp:extent cx="14617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215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40"/>
        <w:spacing w:after="0" w:line="253" w:lineRule="auto"/>
        <w:rPr>
          <w:sz w:val="20"/>
          <w:szCs w:val="20"/>
          <w:color w:val="auto"/>
        </w:rPr>
      </w:pPr>
      <w:r>
        <w:rPr>
          <w:rFonts w:ascii="Arial" w:cs="Arial" w:eastAsia="Arial" w:hAnsi="Arial"/>
          <w:sz w:val="43"/>
          <w:szCs w:val="43"/>
          <w:b w:val="1"/>
          <w:bCs w:val="1"/>
          <w:color w:val="auto"/>
        </w:rPr>
        <w:t>NORTHERN TECHNOLOGIES INTERNATIONAL CORPORATION</w:t>
      </w:r>
    </w:p>
    <w:p>
      <w:pPr>
        <w:spacing w:after="0" w:line="2" w:lineRule="exact"/>
        <w:rPr>
          <w:sz w:val="24"/>
          <w:szCs w:val="24"/>
          <w:color w:val="auto"/>
        </w:rPr>
      </w:pPr>
    </w:p>
    <w:tbl>
      <w:tblPr>
        <w:tblLayout w:type="fixed"/>
        <w:tblInd w:w="54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6000" w:type="dxa"/>
            <w:vAlign w:val="bottom"/>
          </w:tcPr>
          <w:p>
            <w:pPr>
              <w:jc w:val="center"/>
              <w:ind w:right="2864"/>
              <w:spacing w:after="0"/>
              <w:rPr>
                <w:sz w:val="20"/>
                <w:szCs w:val="20"/>
                <w:color w:val="auto"/>
              </w:rPr>
            </w:pPr>
            <w:r>
              <w:rPr>
                <w:rFonts w:ascii="Arial" w:cs="Arial" w:eastAsia="Arial" w:hAnsi="Arial"/>
                <w:sz w:val="14"/>
                <w:szCs w:val="14"/>
                <w:b w:val="1"/>
                <w:bCs w:val="1"/>
                <w:color w:val="auto"/>
                <w:w w:val="85"/>
              </w:rPr>
              <w:t>(Name of small business issuer in its charter)</w:t>
            </w:r>
          </w:p>
        </w:tc>
      </w:tr>
      <w:tr>
        <w:trPr>
          <w:trHeight w:val="419"/>
        </w:trPr>
        <w:tc>
          <w:tcPr>
            <w:tcW w:w="364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Delaware</w:t>
            </w:r>
          </w:p>
        </w:tc>
        <w:tc>
          <w:tcPr>
            <w:tcW w:w="6000" w:type="dxa"/>
            <w:vAlign w:val="bottom"/>
          </w:tcPr>
          <w:p>
            <w:pPr>
              <w:jc w:val="right"/>
              <w:ind w:right="544"/>
              <w:spacing w:after="0"/>
              <w:rPr>
                <w:sz w:val="20"/>
                <w:szCs w:val="20"/>
                <w:color w:val="auto"/>
              </w:rPr>
            </w:pPr>
            <w:r>
              <w:rPr>
                <w:rFonts w:ascii="Arial" w:cs="Arial" w:eastAsia="Arial" w:hAnsi="Arial"/>
                <w:sz w:val="18"/>
                <w:szCs w:val="18"/>
                <w:b w:val="1"/>
                <w:bCs w:val="1"/>
                <w:color w:val="auto"/>
              </w:rPr>
              <w:t>41-0857886</w:t>
            </w:r>
          </w:p>
        </w:tc>
      </w:tr>
      <w:tr>
        <w:trPr>
          <w:trHeight w:val="174"/>
        </w:trPr>
        <w:tc>
          <w:tcPr>
            <w:tcW w:w="364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6000" w:type="dxa"/>
            <w:vAlign w:val="bottom"/>
          </w:tcPr>
          <w:p>
            <w:pPr>
              <w:jc w:val="center"/>
              <w:ind w:left="3844"/>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39"/>
        </w:trPr>
        <w:tc>
          <w:tcPr>
            <w:tcW w:w="364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4201 Woodland Rd Circle Pines, Minnesota</w:t>
            </w:r>
          </w:p>
        </w:tc>
        <w:tc>
          <w:tcPr>
            <w:tcW w:w="6000" w:type="dxa"/>
            <w:vAlign w:val="bottom"/>
          </w:tcPr>
          <w:p>
            <w:pPr>
              <w:jc w:val="right"/>
              <w:ind w:right="744"/>
              <w:spacing w:after="0"/>
              <w:rPr>
                <w:sz w:val="20"/>
                <w:szCs w:val="20"/>
                <w:color w:val="auto"/>
              </w:rPr>
            </w:pPr>
            <w:r>
              <w:rPr>
                <w:rFonts w:ascii="Arial" w:cs="Arial" w:eastAsia="Arial" w:hAnsi="Arial"/>
                <w:sz w:val="18"/>
                <w:szCs w:val="18"/>
                <w:b w:val="1"/>
                <w:bCs w:val="1"/>
                <w:color w:val="auto"/>
              </w:rPr>
              <w:t>55014</w:t>
            </w:r>
          </w:p>
        </w:tc>
      </w:tr>
      <w:tr>
        <w:trPr>
          <w:trHeight w:val="174"/>
        </w:trPr>
        <w:tc>
          <w:tcPr>
            <w:tcW w:w="364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6000" w:type="dxa"/>
            <w:vAlign w:val="bottom"/>
          </w:tcPr>
          <w:p>
            <w:pPr>
              <w:jc w:val="center"/>
              <w:ind w:left="3844"/>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3640" w:type="dxa"/>
            <w:vAlign w:val="bottom"/>
          </w:tcPr>
          <w:p>
            <w:pPr>
              <w:spacing w:after="0"/>
              <w:rPr>
                <w:sz w:val="24"/>
                <w:szCs w:val="24"/>
                <w:color w:val="auto"/>
              </w:rPr>
            </w:pPr>
          </w:p>
        </w:tc>
        <w:tc>
          <w:tcPr>
            <w:tcW w:w="6000" w:type="dxa"/>
            <w:vAlign w:val="bottom"/>
          </w:tcPr>
          <w:p>
            <w:pPr>
              <w:jc w:val="center"/>
              <w:ind w:right="2864"/>
              <w:spacing w:after="0"/>
              <w:rPr>
                <w:sz w:val="20"/>
                <w:szCs w:val="20"/>
                <w:color w:val="auto"/>
              </w:rPr>
            </w:pPr>
            <w:r>
              <w:rPr>
                <w:rFonts w:ascii="Arial" w:cs="Arial" w:eastAsia="Arial" w:hAnsi="Arial"/>
                <w:sz w:val="18"/>
                <w:szCs w:val="18"/>
                <w:b w:val="1"/>
                <w:bCs w:val="1"/>
                <w:color w:val="auto"/>
                <w:w w:val="89"/>
              </w:rPr>
              <w:t>(763) 225-6600</w:t>
            </w:r>
          </w:p>
        </w:tc>
      </w:tr>
      <w:tr>
        <w:trPr>
          <w:trHeight w:val="174"/>
        </w:trPr>
        <w:tc>
          <w:tcPr>
            <w:tcW w:w="3640" w:type="dxa"/>
            <w:vAlign w:val="bottom"/>
          </w:tcPr>
          <w:p>
            <w:pPr>
              <w:spacing w:after="0"/>
              <w:rPr>
                <w:sz w:val="15"/>
                <w:szCs w:val="15"/>
                <w:color w:val="auto"/>
              </w:rPr>
            </w:pPr>
          </w:p>
        </w:tc>
        <w:tc>
          <w:tcPr>
            <w:tcW w:w="6000" w:type="dxa"/>
            <w:vAlign w:val="bottom"/>
          </w:tcPr>
          <w:p>
            <w:pPr>
              <w:jc w:val="center"/>
              <w:ind w:right="2844"/>
              <w:spacing w:after="0"/>
              <w:rPr>
                <w:sz w:val="20"/>
                <w:szCs w:val="20"/>
                <w:color w:val="auto"/>
              </w:rPr>
            </w:pPr>
            <w:r>
              <w:rPr>
                <w:rFonts w:ascii="Arial" w:cs="Arial" w:eastAsia="Arial" w:hAnsi="Arial"/>
                <w:sz w:val="14"/>
                <w:szCs w:val="14"/>
                <w:b w:val="1"/>
                <w:bCs w:val="1"/>
                <w:color w:val="auto"/>
                <w:w w:val="85"/>
              </w:rPr>
              <w:t>(Issuer’s telephone number, including area code)</w:t>
            </w:r>
          </w:p>
        </w:tc>
      </w:tr>
    </w:tbl>
    <w:p>
      <w:pPr>
        <w:spacing w:after="0" w:line="195"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Check whether the issuer (1) filed all reports required to be filed by Section 13 or 15(d) of the Securities Exchange Act of 1934 during the past 12 months (or for such shorter period that the issuer was required to file such reports) and (2) has been subject to such filing requirements for the past 90 days.</w:t>
      </w:r>
    </w:p>
    <w:p>
      <w:pPr>
        <w:spacing w:after="0" w:line="166" w:lineRule="exact"/>
        <w:rPr>
          <w:sz w:val="24"/>
          <w:szCs w:val="24"/>
          <w:color w:val="auto"/>
        </w:rPr>
      </w:pPr>
    </w:p>
    <w:p>
      <w:pPr>
        <w:jc w:val="center"/>
        <w:ind w:right="280"/>
        <w:spacing w:after="0"/>
        <w:tabs>
          <w:tab w:leader="none" w:pos="120" w:val="left"/>
          <w:tab w:leader="none" w:pos="280" w:val="left"/>
          <w:tab w:leader="none" w:pos="12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jc w:val="center"/>
        <w:ind w:right="280"/>
        <w:spacing w:after="0"/>
        <w:tabs>
          <w:tab w:leader="none" w:pos="120" w:val="left"/>
          <w:tab w:leader="none" w:pos="280" w:val="left"/>
          <w:tab w:leader="none" w:pos="12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620" w:type="dxa"/>
            <w:vAlign w:val="bottom"/>
            <w:gridSpan w:val="2"/>
          </w:tcPr>
          <w:p>
            <w:pPr>
              <w:jc w:val="center"/>
              <w:ind w:right="952"/>
              <w:spacing w:after="0"/>
              <w:rPr>
                <w:sz w:val="20"/>
                <w:szCs w:val="20"/>
                <w:color w:val="auto"/>
              </w:rPr>
            </w:pPr>
            <w:r>
              <w:rPr>
                <w:rFonts w:ascii="Arial" w:cs="Arial" w:eastAsia="Arial" w:hAnsi="Arial"/>
                <w:sz w:val="14"/>
                <w:szCs w:val="14"/>
                <w:b w:val="1"/>
                <w:bCs w:val="1"/>
                <w:color w:val="auto"/>
                <w:w w:val="80"/>
              </w:rPr>
              <w:t>Class</w:t>
            </w:r>
          </w:p>
        </w:tc>
        <w:tc>
          <w:tcPr>
            <w:tcW w:w="1240" w:type="dxa"/>
            <w:vAlign w:val="bottom"/>
          </w:tcPr>
          <w:p>
            <w:pPr>
              <w:spacing w:after="0"/>
              <w:rPr>
                <w:sz w:val="15"/>
                <w:szCs w:val="15"/>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as of April 11, 2007</w:t>
            </w:r>
          </w:p>
        </w:tc>
        <w:tc>
          <w:tcPr>
            <w:tcW w:w="20" w:type="dxa"/>
            <w:vAlign w:val="bottom"/>
          </w:tcPr>
          <w:p>
            <w:pPr>
              <w:spacing w:after="0"/>
              <w:rPr>
                <w:sz w:val="15"/>
                <w:szCs w:val="15"/>
                <w:color w:val="auto"/>
              </w:rPr>
            </w:pPr>
          </w:p>
        </w:tc>
      </w:tr>
      <w:tr>
        <w:trPr>
          <w:trHeight w:val="95"/>
        </w:trPr>
        <w:tc>
          <w:tcPr>
            <w:tcW w:w="460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16"/>
        </w:trPr>
        <w:tc>
          <w:tcPr>
            <w:tcW w:w="5620" w:type="dxa"/>
            <w:vAlign w:val="bottom"/>
            <w:gridSpan w:val="2"/>
          </w:tcPr>
          <w:p>
            <w:pPr>
              <w:jc w:val="center"/>
              <w:ind w:right="952"/>
              <w:spacing w:after="0"/>
              <w:rPr>
                <w:sz w:val="20"/>
                <w:szCs w:val="20"/>
                <w:color w:val="auto"/>
              </w:rPr>
            </w:pPr>
            <w:r>
              <w:rPr>
                <w:rFonts w:ascii="Arial" w:cs="Arial" w:eastAsia="Arial" w:hAnsi="Arial"/>
                <w:sz w:val="18"/>
                <w:szCs w:val="18"/>
                <w:color w:val="auto"/>
                <w:w w:val="87"/>
              </w:rPr>
              <w:t>Common Stock, $0.02 par value</w:t>
            </w:r>
          </w:p>
        </w:tc>
        <w:tc>
          <w:tcPr>
            <w:tcW w:w="5820" w:type="dxa"/>
            <w:vAlign w:val="bottom"/>
            <w:gridSpan w:val="2"/>
          </w:tcPr>
          <w:p>
            <w:pPr>
              <w:jc w:val="right"/>
              <w:ind w:right="1892"/>
              <w:spacing w:after="0"/>
              <w:rPr>
                <w:sz w:val="20"/>
                <w:szCs w:val="20"/>
                <w:color w:val="auto"/>
              </w:rPr>
            </w:pPr>
            <w:r>
              <w:rPr>
                <w:rFonts w:ascii="Arial" w:cs="Arial" w:eastAsia="Arial" w:hAnsi="Arial"/>
                <w:sz w:val="18"/>
                <w:szCs w:val="18"/>
                <w:color w:val="auto"/>
              </w:rPr>
              <w:t>3,679,016</w:t>
            </w:r>
          </w:p>
        </w:tc>
        <w:tc>
          <w:tcPr>
            <w:tcW w:w="20" w:type="dxa"/>
            <w:vAlign w:val="bottom"/>
          </w:tcPr>
          <w:p>
            <w:pPr>
              <w:spacing w:after="0"/>
              <w:rPr>
                <w:sz w:val="24"/>
                <w:szCs w:val="24"/>
                <w:color w:val="auto"/>
              </w:rPr>
            </w:pPr>
          </w:p>
        </w:tc>
      </w:tr>
      <w:tr>
        <w:trPr>
          <w:trHeight w:val="432"/>
        </w:trPr>
        <w:tc>
          <w:tcPr>
            <w:tcW w:w="11440" w:type="dxa"/>
            <w:vAlign w:val="bottom"/>
            <w:gridSpan w:val="4"/>
          </w:tcPr>
          <w:p>
            <w:pPr>
              <w:ind w:left="3600"/>
              <w:spacing w:after="0"/>
              <w:rPr>
                <w:sz w:val="20"/>
                <w:szCs w:val="20"/>
                <w:color w:val="auto"/>
              </w:rPr>
            </w:pPr>
            <w:r>
              <w:rPr>
                <w:rFonts w:ascii="Arial" w:cs="Arial" w:eastAsia="Arial" w:hAnsi="Arial"/>
                <w:sz w:val="18"/>
                <w:szCs w:val="18"/>
                <w:color w:val="auto"/>
              </w:rPr>
              <w:t>Transitional Small Business Disclosure Format (check one):</w:t>
            </w:r>
          </w:p>
        </w:tc>
        <w:tc>
          <w:tcPr>
            <w:tcW w:w="20" w:type="dxa"/>
            <w:vAlign w:val="bottom"/>
          </w:tcPr>
          <w:p>
            <w:pPr>
              <w:spacing w:after="0"/>
              <w:rPr>
                <w:sz w:val="24"/>
                <w:szCs w:val="24"/>
                <w:color w:val="auto"/>
              </w:rPr>
            </w:pPr>
          </w:p>
        </w:tc>
      </w:tr>
      <w:tr>
        <w:trPr>
          <w:trHeight w:val="459"/>
        </w:trPr>
        <w:tc>
          <w:tcPr>
            <w:tcW w:w="460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Yes  o</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No  x</w:t>
            </w:r>
          </w:p>
        </w:tc>
        <w:tc>
          <w:tcPr>
            <w:tcW w:w="20" w:type="dxa"/>
            <w:vAlign w:val="bottom"/>
          </w:tcPr>
          <w:p>
            <w:pPr>
              <w:spacing w:after="0"/>
              <w:rPr>
                <w:sz w:val="24"/>
                <w:szCs w:val="24"/>
                <w:color w:val="auto"/>
              </w:rPr>
            </w:pPr>
          </w:p>
        </w:tc>
      </w:tr>
      <w:tr>
        <w:trPr>
          <w:trHeight w:val="107"/>
        </w:trPr>
        <w:tc>
          <w:tcPr>
            <w:tcW w:w="4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46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45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60"/>
          </w:cols>
          <w:pgMar w:left="240" w:top="476" w:right="1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10-QSB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February 28, 2007</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Page</w:t>
            </w:r>
          </w:p>
        </w:tc>
      </w:tr>
      <w:tr>
        <w:trPr>
          <w:trHeight w:val="95"/>
        </w:trPr>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277"/>
        </w:trPr>
        <w:tc>
          <w:tcPr>
            <w:tcW w:w="1062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20" w:type="dxa"/>
            <w:vAlign w:val="bottom"/>
          </w:tcPr>
          <w:p>
            <w:pPr>
              <w:spacing w:after="0"/>
              <w:rPr>
                <w:sz w:val="24"/>
                <w:szCs w:val="24"/>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5"/>
        </w:trPr>
        <w:tc>
          <w:tcPr>
            <w:tcW w:w="1720" w:type="dxa"/>
            <w:vAlign w:val="bottom"/>
            <w:gridSpan w:val="4"/>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42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r>
      <w:tr>
        <w:trPr>
          <w:trHeight w:val="345"/>
        </w:trPr>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 as of February 28, 2007 (unaudited) and August 31, 2006 (audited)</w:t>
              </w:r>
            </w:hyperlink>
          </w:p>
        </w:tc>
        <w:tc>
          <w:tcPr>
            <w:tcW w:w="206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(unaudited) for the Three and Six Months Ended February 28, 2007 and 2006</w:t>
              </w:r>
            </w:hyperlink>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Six Months Ended February 28, 2007 and 2006</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w:t>
              </w:r>
            </w:hyperlink>
          </w:p>
        </w:tc>
        <w:tc>
          <w:tcPr>
            <w:tcW w:w="4460" w:type="dxa"/>
            <w:vAlign w:val="bottom"/>
            <w:tcBorders>
              <w:top w:val="single" w:sz="8" w:color="0000EE"/>
            </w:tcBorders>
            <w:gridSpan w:val="4"/>
          </w:tcPr>
          <w:p>
            <w:pPr>
              <w:spacing w:after="0"/>
              <w:rPr>
                <w:sz w:val="24"/>
                <w:szCs w:val="24"/>
                <w:color w:val="auto"/>
              </w:rPr>
            </w:pPr>
          </w:p>
        </w:tc>
        <w:tc>
          <w:tcPr>
            <w:tcW w:w="136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345"/>
        </w:trPr>
        <w:tc>
          <w:tcPr>
            <w:tcW w:w="1720" w:type="dxa"/>
            <w:vAlign w:val="bottom"/>
            <w:gridSpan w:val="4"/>
          </w:tcPr>
          <w:p>
            <w:pPr>
              <w:spacing w:after="0"/>
              <w:rPr>
                <w:sz w:val="20"/>
                <w:szCs w:val="20"/>
                <w:color w:val="auto"/>
              </w:rPr>
            </w:pPr>
            <w:r>
              <w:rPr>
                <w:rFonts w:ascii="Arial" w:cs="Arial" w:eastAsia="Arial" w:hAnsi="Arial"/>
                <w:sz w:val="18"/>
                <w:szCs w:val="18"/>
                <w:color w:val="auto"/>
              </w:rPr>
              <w:t>Item 2.</w:t>
            </w:r>
          </w:p>
        </w:tc>
        <w:tc>
          <w:tcPr>
            <w:tcW w:w="890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or Plan of Operation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345"/>
        </w:trPr>
        <w:tc>
          <w:tcPr>
            <w:tcW w:w="172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tcBorders>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62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28-29</w:t>
            </w:r>
          </w:p>
        </w:tc>
      </w:tr>
      <w:tr>
        <w:trPr>
          <w:trHeight w:val="20"/>
        </w:trPr>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5"/>
        </w:trPr>
        <w:tc>
          <w:tcPr>
            <w:tcW w:w="276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786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r>
      <w:tr>
        <w:trPr>
          <w:trHeight w:val="345"/>
        </w:trPr>
        <w:tc>
          <w:tcPr>
            <w:tcW w:w="1720" w:type="dxa"/>
            <w:vAlign w:val="bottom"/>
            <w:gridSpan w:val="4"/>
          </w:tcPr>
          <w:p>
            <w:pPr>
              <w:spacing w:after="0"/>
              <w:rPr>
                <w:sz w:val="20"/>
                <w:szCs w:val="20"/>
                <w:color w:val="auto"/>
              </w:rPr>
            </w:pPr>
            <w:r>
              <w:rPr>
                <w:rFonts w:ascii="Arial" w:cs="Arial" w:eastAsia="Arial" w:hAnsi="Arial"/>
                <w:sz w:val="18"/>
                <w:szCs w:val="18"/>
                <w:color w:val="auto"/>
              </w:rPr>
              <w:t>Item 1.</w:t>
            </w:r>
          </w:p>
        </w:tc>
        <w:tc>
          <w:tcPr>
            <w:tcW w:w="890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5"/>
        </w:trPr>
        <w:tc>
          <w:tcPr>
            <w:tcW w:w="1720" w:type="dxa"/>
            <w:vAlign w:val="bottom"/>
            <w:gridSpan w:val="4"/>
          </w:tcPr>
          <w:p>
            <w:pPr>
              <w:spacing w:after="0"/>
              <w:rPr>
                <w:sz w:val="20"/>
                <w:szCs w:val="20"/>
                <w:color w:val="auto"/>
              </w:rPr>
            </w:pPr>
            <w:r>
              <w:rPr>
                <w:rFonts w:ascii="Arial" w:cs="Arial" w:eastAsia="Arial" w:hAnsi="Arial"/>
                <w:sz w:val="18"/>
                <w:szCs w:val="18"/>
                <w:color w:val="auto"/>
              </w:rPr>
              <w:t>Item 2.</w:t>
            </w:r>
          </w:p>
        </w:tc>
        <w:tc>
          <w:tcPr>
            <w:tcW w:w="80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Unregistered Sales of Equity Securities, Use of Proceeds and Small Business Issuer Purchases of Equity Securities</w:t>
              </w:r>
            </w:hyperlink>
          </w:p>
        </w:tc>
        <w:tc>
          <w:tcPr>
            <w:tcW w:w="84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45"/>
        </w:trPr>
        <w:tc>
          <w:tcPr>
            <w:tcW w:w="1720" w:type="dxa"/>
            <w:vAlign w:val="bottom"/>
            <w:gridSpan w:val="4"/>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Submission of Matters to a Vote of Security Holders</w:t>
              </w:r>
            </w:hyperlink>
          </w:p>
        </w:tc>
        <w:tc>
          <w:tcPr>
            <w:tcW w:w="522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30-31</w:t>
            </w:r>
          </w:p>
        </w:tc>
      </w:tr>
      <w:tr>
        <w:trPr>
          <w:trHeight w:val="345"/>
        </w:trPr>
        <w:tc>
          <w:tcPr>
            <w:tcW w:w="1720" w:type="dxa"/>
            <w:vAlign w:val="bottom"/>
            <w:gridSpan w:val="4"/>
          </w:tcPr>
          <w:p>
            <w:pPr>
              <w:spacing w:after="0"/>
              <w:rPr>
                <w:sz w:val="20"/>
                <w:szCs w:val="20"/>
                <w:color w:val="auto"/>
              </w:rPr>
            </w:pPr>
            <w:r>
              <w:rPr>
                <w:rFonts w:ascii="Arial" w:cs="Arial" w:eastAsia="Arial" w:hAnsi="Arial"/>
                <w:sz w:val="18"/>
                <w:szCs w:val="18"/>
                <w:color w:val="auto"/>
              </w:rPr>
              <w:t>Item 5.</w:t>
            </w:r>
          </w:p>
        </w:tc>
        <w:tc>
          <w:tcPr>
            <w:tcW w:w="890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1720" w:type="dxa"/>
            <w:vAlign w:val="bottom"/>
            <w:gridSpan w:val="4"/>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60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45"/>
        </w:trPr>
        <w:tc>
          <w:tcPr>
            <w:tcW w:w="1560" w:type="dxa"/>
            <w:vAlign w:val="bottom"/>
            <w:tcBorders>
              <w:bottom w:val="single" w:sz="8" w:color="0000EE"/>
            </w:tcBorders>
            <w:gridSpan w:val="3"/>
          </w:tcPr>
          <w:p>
            <w:pPr>
              <w:spacing w:after="0"/>
              <w:rPr>
                <w:rFonts w:ascii="Arial" w:cs="Arial" w:eastAsia="Arial" w:hAnsi="Arial"/>
                <w:sz w:val="18"/>
                <w:szCs w:val="18"/>
                <w:b w:val="1"/>
                <w:bCs w:val="1"/>
                <w:color w:val="0000EE"/>
                <w:w w:val="95"/>
              </w:rPr>
            </w:pPr>
            <w:hyperlink w:anchor="page33">
              <w:r>
                <w:rPr>
                  <w:rFonts w:ascii="Arial" w:cs="Arial" w:eastAsia="Arial" w:hAnsi="Arial"/>
                  <w:sz w:val="18"/>
                  <w:szCs w:val="18"/>
                  <w:b w:val="1"/>
                  <w:bCs w:val="1"/>
                  <w:color w:val="0000EE"/>
                  <w:w w:val="95"/>
                </w:rPr>
                <w:t>SIGNATURE PAGE</w:t>
              </w:r>
            </w:hyperlink>
          </w:p>
        </w:tc>
        <w:tc>
          <w:tcPr>
            <w:tcW w:w="16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45"/>
        </w:trPr>
        <w:tc>
          <w:tcPr>
            <w:tcW w:w="1720" w:type="dxa"/>
            <w:vAlign w:val="bottom"/>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 INDEX</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238125</wp:posOffset>
            </wp:positionV>
            <wp:extent cx="1539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i w:val="1"/>
          <w:iCs w:val="1"/>
          <w:color w:val="auto"/>
        </w:rPr>
        <w:t>This Quarterly Report on Form 10-QSB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or Plan of Operation – Forward-Looking Statements.”</w:t>
      </w:r>
    </w:p>
    <w:p>
      <w:pPr>
        <w:spacing w:after="0" w:line="16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majority-owned subsidiary – React-NTI, LLC, all of which are consolidated on NTIC’s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58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AND SUBSIDIARIES – CONSOLIDATED BALANCE SHEETS as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February 28, 2007(Unaudited) and August 31, 2006 (Audited)</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February 28,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ind w:left="1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240,554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299,117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Trade excluding corporate joint ventures, less allowance for doubtful accounts of $30,000 and $10,000 at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February 28, 2007 and August 31, 2006</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1,543,593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1,772,568</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Trade corporate joint ventures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612,413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598,162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Technical and other services, corporate joint ventures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1,357,754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294,836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333,819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1,377,953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297,168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233,648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6,199,949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6,210,109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3,844,752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3,430,573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Investments in corporate joint ventures: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chemical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11,599,030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10,397,463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Industrial non-chemical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422,401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374,639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628,197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Notes receivable and foreign deposit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497,179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 from employee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Industrial patents and trademarks, net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976,789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996,592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auto"/>
                <w:w w:val="88"/>
              </w:rPr>
              <w:t>Other</w:t>
            </w:r>
          </w:p>
        </w:tc>
        <w:tc>
          <w:tcPr>
            <w:tcW w:w="7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402,971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375,199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14,428,421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13,629,948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24,473,122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23,270,630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overdrafts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170,657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Borrowings made on line of credit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notes payable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1,064,633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1,775,926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related benefits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1,056,556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Deferred joint venture royalties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2,991,917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3,988,775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NOTES PAYABLE, NET OF CURRENT PORTION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1,226,764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1,240,848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w w:val="90"/>
              </w:rPr>
              <w:t>Common stock, $0.02 par value per share; authorized 10,000,000 shares; issued and outstanding 3,679,016 and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ind w:left="640"/>
              <w:spacing w:after="0"/>
              <w:rPr>
                <w:sz w:val="20"/>
                <w:szCs w:val="20"/>
                <w:color w:val="auto"/>
              </w:rPr>
            </w:pPr>
            <w:r>
              <w:rPr>
                <w:rFonts w:ascii="Arial" w:cs="Arial" w:eastAsia="Arial" w:hAnsi="Arial"/>
                <w:sz w:val="18"/>
                <w:szCs w:val="18"/>
                <w:color w:val="auto"/>
              </w:rPr>
              <w:t>3,618,993, respectively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73,580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72,380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4,735,323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4,272,635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14,326,482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12,895,574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745,164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20,191,873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17,985,753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24,473,122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23,270,630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-3510915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-3510915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-3510915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-3510915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-3510915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-3510915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40"/>
          </w:cols>
          <w:pgMar w:left="240" w:top="368" w:right="219" w:bottom="53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40" w:top="368" w:right="219" w:bottom="531" w:gutter="0" w:footer="0" w:header="0"/>
          <w:type w:val="continuous"/>
        </w:sectPr>
      </w:pPr>
    </w:p>
    <w:bookmarkStart w:id="3" w:name="page4"/>
    <w:bookmarkEnd w:id="3"/>
    <w:p>
      <w:pPr>
        <w:ind w:right="2800"/>
        <w:spacing w:after="0" w:line="257"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FEBRUARY 28, 2007 AND FEBRUARY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February 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February 28,</w:t>
            </w:r>
          </w:p>
        </w:tc>
        <w:tc>
          <w:tcPr>
            <w:tcW w:w="16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February 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Sales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3,884,895</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3,775,693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8,502,269</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8,179,322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2,459,064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2,315,245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5,404,119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1,425,831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1,460,448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3,098,150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Selling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810,165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874,234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1,579,204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1,572,189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1,627,172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Lab and technical support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78,672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1,659,789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3,336,751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OPERATING (LOSS)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(233,958)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(56,369)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(238,601)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CORPORATE JOINT VENTURES AND HOLDING COMPANIES: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industrial chemical corporate joint ventures and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holding companies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1,002,944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546,217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1,595,934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1,290,664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w w:val="92"/>
              </w:rPr>
              <w:t>Equity in (loss) income of industrial non-chemical corporate joint ventures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640"/>
              <w:spacing w:after="0"/>
              <w:rPr>
                <w:sz w:val="20"/>
                <w:szCs w:val="20"/>
                <w:color w:val="auto"/>
              </w:rPr>
            </w:pPr>
            <w:r>
              <w:rPr>
                <w:rFonts w:ascii="Arial" w:cs="Arial" w:eastAsia="Arial" w:hAnsi="Arial"/>
                <w:sz w:val="18"/>
                <w:szCs w:val="18"/>
                <w:color w:val="auto"/>
              </w:rPr>
              <w:t>and holding companies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39,591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Fees for technical support and other services provided to corporate joint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ventures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1,213,162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1,019,989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2,346,003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2,134,049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Expenses incurred in support of corporate joint ventures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(1,341,052)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(1,290,946)</w:t>
            </w: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(2,657,301)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(2,456,530)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ALL CORPORATE JOINT VENTURES AND HOLDING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866,625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314,851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1,318,436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(31,857)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MINORITY INTEREST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(7,314)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1,718,427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448,203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1,438,427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ASSUMED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3,664,248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3,597,815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3,644,126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3,690,260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3,628,594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3,679,023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3,618,101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ind w:right="4940"/>
        <w:spacing w:after="0" w:line="310" w:lineRule="auto"/>
        <w:rPr>
          <w:sz w:val="20"/>
          <w:szCs w:val="20"/>
          <w:color w:val="auto"/>
        </w:rPr>
      </w:pPr>
      <w:r>
        <w:rPr>
          <w:rFonts w:ascii="Arial" w:cs="Arial" w:eastAsia="Arial" w:hAnsi="Arial"/>
          <w:sz w:val="16"/>
          <w:szCs w:val="16"/>
          <w:b w:val="1"/>
          <w:bCs w:val="1"/>
          <w:color w:val="auto"/>
        </w:rPr>
        <w:t>NORTHERN TECHNOLOGIES INTERNATIONAL CORPORATION AND SUBSIDIARIES - CONSOLIDATED STATEMENTS OF CASH FLOWS (Unaudited) SIX MONTHS ENDED FEBRUARY 28, 2007 and FEBRUARY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February 28,</w:t>
            </w:r>
          </w:p>
        </w:tc>
        <w:tc>
          <w:tcPr>
            <w:tcW w:w="14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1,438,427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838,714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Expensing of fair value of stock options vested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sale of assets</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(726,195)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Minority interest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Equity in income from corporate joint ventures: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280"/>
              <w:spacing w:after="0"/>
              <w:rPr>
                <w:sz w:val="20"/>
                <w:szCs w:val="20"/>
                <w:color w:val="auto"/>
              </w:rPr>
            </w:pPr>
            <w:r>
              <w:rPr>
                <w:rFonts w:ascii="Arial" w:cs="Arial" w:eastAsia="Arial" w:hAnsi="Arial"/>
                <w:sz w:val="18"/>
                <w:szCs w:val="18"/>
                <w:color w:val="auto"/>
              </w:rPr>
              <w:t>Industrial chemical</w:t>
            </w:r>
          </w:p>
        </w:tc>
        <w:tc>
          <w:tcPr>
            <w:tcW w:w="1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(1,595,934)</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Industrial non-chemical</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(33,800)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Deferred joint venture royalties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 current assets and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28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Trade excluding corporate joint ventures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720"/>
              <w:spacing w:after="0"/>
              <w:rPr>
                <w:sz w:val="20"/>
                <w:szCs w:val="20"/>
                <w:color w:val="auto"/>
              </w:rPr>
            </w:pPr>
            <w:r>
              <w:rPr>
                <w:rFonts w:ascii="Arial" w:cs="Arial" w:eastAsia="Arial" w:hAnsi="Arial"/>
                <w:sz w:val="18"/>
                <w:szCs w:val="18"/>
                <w:color w:val="auto"/>
              </w:rPr>
              <w:t>Trade corporate joint ventures</w:t>
            </w:r>
          </w:p>
        </w:tc>
        <w:tc>
          <w:tcPr>
            <w:tcW w:w="1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(14,251)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(86,953)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72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(151,637)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(63,520)</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(135,823)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Employee note receivable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(711,293)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(56,217)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(1,371,623)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Investment in corporate joint ventures</w:t>
            </w:r>
          </w:p>
        </w:tc>
        <w:tc>
          <w:tcPr>
            <w:tcW w:w="1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(538,104)</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received from corporate joint ventures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Loans made</w:t>
            </w:r>
          </w:p>
        </w:tc>
        <w:tc>
          <w:tcPr>
            <w:tcW w:w="14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received from notes receivable and foreign deposit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Additions to property and equipment</w:t>
            </w:r>
          </w:p>
        </w:tc>
        <w:tc>
          <w:tcPr>
            <w:tcW w:w="1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(692,347)</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other assets</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(27,772)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Additions to industrial patents</w:t>
            </w:r>
          </w:p>
        </w:tc>
        <w:tc>
          <w:tcPr>
            <w:tcW w:w="14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(58,535)</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(129,800)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borrowings made on line of credit (repayments)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Repayment of note payable</w:t>
            </w:r>
          </w:p>
        </w:tc>
        <w:tc>
          <w:tcPr>
            <w:tcW w:w="1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(12,955)</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(554,870)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Bank overdrafts</w:t>
            </w:r>
          </w:p>
        </w:tc>
        <w:tc>
          <w:tcPr>
            <w:tcW w:w="14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(158,147)</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(542,530)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(58,563)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299,117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68"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68" w:right="239" w:bottom="1440" w:gutter="0" w:footer="0" w:header="0"/>
          <w:type w:val="continuous"/>
        </w:sectPr>
      </w:pPr>
    </w:p>
    <w:bookmarkStart w:id="5" w:name="page6"/>
    <w:bookmarkEnd w:id="5"/>
    <w:p>
      <w:pPr>
        <w:ind w:right="4400"/>
        <w:spacing w:after="0" w:line="339" w:lineRule="auto"/>
        <w:rPr>
          <w:sz w:val="20"/>
          <w:szCs w:val="20"/>
          <w:color w:val="auto"/>
        </w:rPr>
      </w:pPr>
      <w:r>
        <w:rPr>
          <w:rFonts w:ascii="Arial" w:cs="Arial" w:eastAsia="Arial" w:hAnsi="Arial"/>
          <w:sz w:val="16"/>
          <w:szCs w:val="16"/>
          <w:b w:val="1"/>
          <w:bCs w:val="1"/>
          <w:color w:val="auto"/>
        </w:rPr>
        <w:t>NORTHERN TECHNOLOGIES INTERNATIONAL CORPORATION AND SUBSIDIARIES -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38"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2007 and the results of their operations for the three and six months ended February 28, 2007 and February 28, 2006 and their cash flows for the six months ended February 28, 2007 and February 28, 2006, in conformity with accounting principles generally accepted in the United States of America.</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related notes contained in the Company’s annual report on Form 10-KSB for the fiscal year ended August 31, 2006 and with the Management’s Discussion and Analysis or Plan of Operation section appearing in this quarterly report. Operating results for the three and six months ended February 28, 2007 are not necessarily indicative of the results that may be expected for the full fiscal year ending August 31, 2007.</w:t>
      </w:r>
    </w:p>
    <w:p>
      <w:pPr>
        <w:spacing w:after="0" w:line="191"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December 2004, FASB published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 awards, share appreciation rights, and employee share purchase plans. FAS 123(R) is a replacement of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supersedes APB Opinion No.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 and its related interpretive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The effect of the Statement is to require entities to measure the cost of employee services received in exchange for stock options based on the grant-date fair value of the award, and to recognize the cost over the period the employee is required to provide services for the award. Compensation cost under SFAS 123(R) is recognized ratably using the straight-line attribution method over the expected vesting period, which is considered to be the requisite service period. In addition, pursuant to SFAS 123(R), we are required to estimate the amount of expected forfeitures when calculating the compensation costs, instead of accounting for forfeitures as incurred, which was our previous method. All of our options previously awarded were classified as equity instruments and continue to maintain their equity classification under SFAS 123(R). FAS 123(R) permits entities to use any option-pricing model that meets the fair value objective in the Statement. The Company implemented FAS 123(R) on September 1, 2006, using the modified prospective transition method.</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granted options to purchase 1,167 and 15,167 shares of its common stock during the three and six months ended February 28, 2007, respectively. The fair value of option grants is determined at date of grant, using the Black-Scholes option pricing model with the assumptions listed below. The volatility factor used in the Black-Scholes option pricing model is based on historical stock price fluctuations and risk free interest rate are based on U.S. treasury rates appropriate for expected term. Based on these valuations, the Company recognized compensation expense of $15,993 and $60,786 during the three and six months ended February 28, 2007, respectively, related to the options that vested during such time period, which reduced net income per share by $0.00 and $0.02 for those three and six month periods, respectively. The Company estimates that there will be no additional compensation expense relating to option grants for the remainder of fiscal year 2007. As of February 28, 2007, the total compensation cost for nonvested options not yet recognized in the Company’s statements of operations was $65,856, net of estimated forfeitures. $54,867 and $10,989 are expected to be recognized during the six months ending February 28, 2008 and 2009, respectively. Future option grants will impact the compensation expense recognized.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8" w:right="25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t>The fair value of the options granted during the six months ended February 28, 2007 and 2006 was estimated using the Black-Scholes option pricing model with the following weighted average assumptions: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1160" w:type="dxa"/>
            <w:vAlign w:val="bottom"/>
          </w:tcPr>
          <w:p>
            <w:pPr>
              <w:ind w:left="420"/>
              <w:spacing w:after="0"/>
              <w:rPr>
                <w:sz w:val="20"/>
                <w:szCs w:val="20"/>
                <w:color w:val="auto"/>
              </w:rPr>
            </w:pPr>
            <w:r>
              <w:rPr>
                <w:rFonts w:ascii="Arial" w:cs="Arial" w:eastAsia="Arial" w:hAnsi="Arial"/>
                <w:sz w:val="14"/>
                <w:szCs w:val="14"/>
                <w:b w:val="1"/>
                <w:bCs w:val="1"/>
                <w:color w:val="auto"/>
              </w:rPr>
              <w:t>2007</w:t>
            </w:r>
          </w:p>
        </w:tc>
        <w:tc>
          <w:tcPr>
            <w:tcW w:w="134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ind w:left="380"/>
              <w:spacing w:after="0"/>
              <w:rPr>
                <w:sz w:val="20"/>
                <w:szCs w:val="20"/>
                <w:color w:val="auto"/>
              </w:rPr>
            </w:pPr>
            <w:r>
              <w:rPr>
                <w:rFonts w:ascii="Arial" w:cs="Arial" w:eastAsia="Arial" w:hAnsi="Arial"/>
                <w:sz w:val="18"/>
                <w:szCs w:val="18"/>
                <w:color w:val="auto"/>
              </w:rPr>
              <w:t>42.9%</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 years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160" w:type="dxa"/>
            <w:vAlign w:val="bottom"/>
          </w:tcPr>
          <w:p>
            <w:pPr>
              <w:ind w:left="380"/>
              <w:spacing w:after="0"/>
              <w:rPr>
                <w:sz w:val="20"/>
                <w:szCs w:val="20"/>
                <w:color w:val="auto"/>
              </w:rPr>
            </w:pPr>
            <w:r>
              <w:rPr>
                <w:rFonts w:ascii="Arial" w:cs="Arial" w:eastAsia="Arial" w:hAnsi="Arial"/>
                <w:sz w:val="18"/>
                <w:szCs w:val="18"/>
                <w:color w:val="auto"/>
              </w:rPr>
              <w:t>4.67%</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Dividend yield and expected volatility are estimated using historical amounts that are anticipated to be consistent with current values. Expected life of option is based on the life of the option agreements.</w:t>
      </w:r>
    </w:p>
    <w:p>
      <w:pPr>
        <w:spacing w:after="0" w:line="18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Had compensation cost for stock options been determined based on the fair value methodology prescribed by SFAS 123(R), the Company’s net income and net income per common share for the three and six month periods ended February 28, 2006 would have been reduced to the pro forma amounts indicated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335"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3 Months Ended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6 Months Ended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5" w:type="dxa"/>
            <w:vAlign w:val="bottom"/>
          </w:tcPr>
          <w:p>
            <w:pPr>
              <w:spacing w:after="0"/>
              <w:rPr>
                <w:sz w:val="12"/>
                <w:szCs w:val="12"/>
                <w:color w:val="auto"/>
              </w:rPr>
            </w:pPr>
          </w:p>
        </w:tc>
        <w:tc>
          <w:tcPr>
            <w:tcW w:w="335"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February 28,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335"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335"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335"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335"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As reported</w:t>
            </w:r>
          </w:p>
        </w:tc>
        <w:tc>
          <w:tcPr>
            <w:tcW w:w="30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455"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204,730</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838,714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30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455"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204,730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30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335"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30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455"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 forma</w:t>
            </w:r>
          </w:p>
        </w:tc>
        <w:tc>
          <w:tcPr>
            <w:tcW w:w="30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455"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30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335"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As reported</w:t>
            </w:r>
          </w:p>
        </w:tc>
        <w:tc>
          <w:tcPr>
            <w:tcW w:w="30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455"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30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455"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Stock-based compensation, net:</w:t>
            </w:r>
          </w:p>
        </w:tc>
        <w:tc>
          <w:tcPr>
            <w:tcW w:w="30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335"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30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455"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 forma</w:t>
            </w:r>
          </w:p>
        </w:tc>
        <w:tc>
          <w:tcPr>
            <w:tcW w:w="30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455"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35,633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60" w:type="dxa"/>
            <w:vAlign w:val="bottom"/>
          </w:tcPr>
          <w:p>
            <w:pPr>
              <w:spacing w:after="0"/>
              <w:rPr>
                <w:sz w:val="20"/>
                <w:szCs w:val="20"/>
                <w:color w:val="auto"/>
              </w:rPr>
            </w:pPr>
            <w:r>
              <w:rPr>
                <w:rFonts w:ascii="Arial" w:cs="Arial" w:eastAsia="Arial" w:hAnsi="Arial"/>
                <w:sz w:val="18"/>
                <w:szCs w:val="18"/>
                <w:b w:val="1"/>
                <w:bCs w:val="1"/>
                <w:color w:val="auto"/>
              </w:rPr>
              <w:t>3.</w:t>
            </w:r>
          </w:p>
        </w:tc>
        <w:tc>
          <w:tcPr>
            <w:tcW w:w="4040" w:type="dxa"/>
            <w:vAlign w:val="bottom"/>
            <w:gridSpan w:val="2"/>
          </w:tcPr>
          <w:p>
            <w:pPr>
              <w:ind w:left="220"/>
              <w:spacing w:after="0"/>
              <w:rPr>
                <w:sz w:val="20"/>
                <w:szCs w:val="20"/>
                <w:color w:val="auto"/>
              </w:rPr>
            </w:pPr>
            <w:r>
              <w:rPr>
                <w:rFonts w:ascii="Arial" w:cs="Arial" w:eastAsia="Arial" w:hAnsi="Arial"/>
                <w:sz w:val="18"/>
                <w:szCs w:val="18"/>
                <w:b w:val="1"/>
                <w:bCs w:val="1"/>
                <w:color w:val="auto"/>
              </w:rPr>
              <w:t>INVENTORIES</w:t>
            </w:r>
          </w:p>
        </w:tc>
        <w:tc>
          <w:tcPr>
            <w:tcW w:w="30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335"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30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335"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475" w:type="dxa"/>
            <w:vAlign w:val="bottom"/>
            <w:gridSpan w:val="3"/>
          </w:tcPr>
          <w:p>
            <w:pPr>
              <w:jc w:val="right"/>
              <w:ind w:right="358"/>
              <w:spacing w:after="0"/>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335"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98"/>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619"/>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335"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335"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312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335"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317,392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Finished goods</w:t>
            </w:r>
          </w:p>
        </w:tc>
        <w:tc>
          <w:tcPr>
            <w:tcW w:w="30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335"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1,212,198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1,024,437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335"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335"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312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335"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1,529,590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000" w:type="dxa"/>
            <w:vAlign w:val="bottom"/>
            <w:vMerge w:val="restart"/>
          </w:tcPr>
          <w:p>
            <w:pPr>
              <w:jc w:val="right"/>
              <w:ind w:right="1552"/>
              <w:spacing w:after="0"/>
              <w:rPr>
                <w:sz w:val="20"/>
                <w:szCs w:val="20"/>
                <w:color w:val="auto"/>
              </w:rPr>
            </w:pPr>
            <w:r>
              <w:rPr>
                <w:rFonts w:ascii="Arial" w:cs="Arial" w:eastAsia="Arial" w:hAnsi="Arial"/>
                <w:sz w:val="18"/>
                <w:szCs w:val="18"/>
                <w:color w:val="auto"/>
              </w:rPr>
              <w:t>7</w:t>
            </w:r>
          </w:p>
        </w:tc>
        <w:tc>
          <w:tcPr>
            <w:tcW w:w="125" w:type="dxa"/>
            <w:vAlign w:val="bottom"/>
            <w:tcBorders>
              <w:bottom w:val="single" w:sz="8" w:color="auto"/>
            </w:tcBorders>
          </w:tcPr>
          <w:p>
            <w:pPr>
              <w:spacing w:after="0"/>
              <w:rPr>
                <w:sz w:val="11"/>
                <w:szCs w:val="11"/>
                <w:color w:val="auto"/>
              </w:rPr>
            </w:pPr>
          </w:p>
        </w:tc>
        <w:tc>
          <w:tcPr>
            <w:tcW w:w="335"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25" w:type="dxa"/>
            <w:vAlign w:val="bottom"/>
          </w:tcPr>
          <w:p>
            <w:pPr>
              <w:spacing w:after="0"/>
              <w:rPr>
                <w:sz w:val="24"/>
                <w:szCs w:val="24"/>
                <w:color w:val="auto"/>
              </w:rPr>
            </w:pPr>
          </w:p>
        </w:tc>
        <w:tc>
          <w:tcPr>
            <w:tcW w:w="335"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-368935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-368935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-368935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-368935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-368935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-368935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240" w:top="590"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8"/>
                <w:szCs w:val="18"/>
                <w:b w:val="1"/>
                <w:bCs w:val="1"/>
                <w:color w:val="auto"/>
              </w:rPr>
              <w:t>4.</w:t>
            </w:r>
          </w:p>
        </w:tc>
        <w:tc>
          <w:tcPr>
            <w:tcW w:w="5380" w:type="dxa"/>
            <w:vAlign w:val="bottom"/>
            <w:gridSpan w:val="2"/>
          </w:tcPr>
          <w:p>
            <w:pPr>
              <w:ind w:left="220"/>
              <w:spacing w:after="0"/>
              <w:rPr>
                <w:sz w:val="20"/>
                <w:szCs w:val="20"/>
                <w:color w:val="auto"/>
              </w:rPr>
            </w:pPr>
            <w:r>
              <w:rPr>
                <w:rFonts w:ascii="Arial" w:cs="Arial" w:eastAsia="Arial" w:hAnsi="Arial"/>
                <w:sz w:val="18"/>
                <w:szCs w:val="18"/>
                <w:b w:val="1"/>
                <w:bCs w:val="1"/>
                <w:color w:val="auto"/>
              </w:rPr>
              <w:t>PROPERTY AND EQUIPMENT</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74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February 28,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7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97"/>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3,031,564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3,420,596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4,530,603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(685,851)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(1,043,144)</w:t>
            </w: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3,844,752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3,430,573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 recognized a gain on the sale of land, building and equipment that previously served as its corporate headquarters of $724,495 during the six months ended February 28, 2007. This was a one-time sale and no additional gain is anticipated to be recognized relating to the building in the future as the entire sale was received in cash and NTIC does not have any continued interest in the property sold.</w:t>
      </w:r>
    </w:p>
    <w:p>
      <w:pPr>
        <w:spacing w:after="0" w:line="188"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net consisted of the following:</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5" w:type="dxa"/>
            <w:vAlign w:val="bottom"/>
          </w:tcPr>
          <w:p>
            <w:pPr>
              <w:spacing w:after="0"/>
              <w:rPr>
                <w:sz w:val="14"/>
                <w:szCs w:val="14"/>
                <w:color w:val="auto"/>
              </w:rPr>
            </w:pPr>
          </w:p>
        </w:tc>
        <w:tc>
          <w:tcPr>
            <w:tcW w:w="1355"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February 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1255" w:type="dxa"/>
            <w:vAlign w:val="bottom"/>
          </w:tcPr>
          <w:p>
            <w:pPr>
              <w:jc w:val="right"/>
              <w:ind w:right="48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50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25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5" w:type="dxa"/>
            <w:vAlign w:val="bottom"/>
          </w:tcPr>
          <w:p>
            <w:pPr>
              <w:spacing w:after="0"/>
              <w:rPr>
                <w:sz w:val="8"/>
                <w:szCs w:val="8"/>
                <w:color w:val="auto"/>
              </w:rPr>
            </w:pPr>
          </w:p>
        </w:tc>
        <w:tc>
          <w:tcPr>
            <w:tcW w:w="1255"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66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1,337,382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56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1355" w:type="dxa"/>
            <w:vAlign w:val="bottom"/>
            <w:gridSpan w:val="2"/>
          </w:tcPr>
          <w:p>
            <w:pPr>
              <w:jc w:val="right"/>
              <w:ind w:right="80"/>
              <w:spacing w:after="0"/>
              <w:rPr>
                <w:sz w:val="20"/>
                <w:szCs w:val="20"/>
                <w:color w:val="auto"/>
              </w:rPr>
            </w:pPr>
            <w:r>
              <w:rPr>
                <w:rFonts w:ascii="Arial" w:cs="Arial" w:eastAsia="Arial" w:hAnsi="Arial"/>
                <w:sz w:val="18"/>
                <w:szCs w:val="18"/>
                <w:color w:val="auto"/>
              </w:rPr>
              <w:t>(360,593)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(282,253)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25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5" w:type="dxa"/>
            <w:vAlign w:val="bottom"/>
          </w:tcPr>
          <w:p>
            <w:pPr>
              <w:spacing w:after="0"/>
              <w:rPr>
                <w:sz w:val="8"/>
                <w:szCs w:val="8"/>
                <w:color w:val="auto"/>
              </w:rPr>
            </w:pPr>
          </w:p>
        </w:tc>
        <w:tc>
          <w:tcPr>
            <w:tcW w:w="1255"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66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976,789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25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Patent and trademark costs are amortized over seven years once a patent or trademark application is filed and approved. Amortization expense was $78,340 and $80,026, for the six months ended February 28, 2007 and 2006, respectively. Amortization expense is estimated to approximate $175,000 in each of the next five fiscal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86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NOTES RECEIVABLE AND FOREIGN DEPOSITS</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20" w:type="dxa"/>
            <w:vAlign w:val="bottom"/>
            <w:gridSpan w:val="3"/>
          </w:tcPr>
          <w:p>
            <w:pPr>
              <w:spacing w:after="0"/>
              <w:rPr>
                <w:sz w:val="20"/>
                <w:szCs w:val="20"/>
                <w:color w:val="auto"/>
              </w:rPr>
            </w:pPr>
            <w:r>
              <w:rPr>
                <w:rFonts w:ascii="Arial" w:cs="Arial" w:eastAsia="Arial" w:hAnsi="Arial"/>
                <w:sz w:val="18"/>
                <w:szCs w:val="18"/>
                <w:color w:val="auto"/>
              </w:rPr>
              <w:t>Notes receivable and foreign deposits consisted of the following:</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40"/>
              <w:spacing w:after="0"/>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80"/>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50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corporate joint venture partners</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Foreign deposits</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337"/>
              <w:spacing w:after="0"/>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577"/>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57"/>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36,481,058</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33,954,156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42,967,257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39,030,247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13,733,953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3,522,544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1,496,557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25,710,645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Corporate Joint Ventures’ equity</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12,021,431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10,772,102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584" w:right="239" w:bottom="1440" w:gutter="0" w:footer="0" w:header="0"/>
          <w:type w:val="continuous"/>
        </w:sectPr>
      </w:pPr>
    </w:p>
    <w:bookmarkStart w:id="8" w:name="page9"/>
    <w:bookmarkEnd w:id="8"/>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39"/>
              <w:spacing w:after="0"/>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79"/>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99"/>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39,272,049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31,153,683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18,925,025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14,703,559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of Corporate Joint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Ventures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1,629,734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1,315,326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February 28, 2007, the Company invested in corporate joint ventures as follows: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November 2006, the Company invested $81,522, in a new industrial chemical corporate joint venture to develop operations in the United Arab Emirates in the oil and gas industry. The Company has a 50% ownership interest in the new entity. The new entity had no operations prior to the Company’s investment. It is anticipated that this is the first of two installments towards the Company’s 50% capitalization of an estimated $200,000 over the next 12 months. It is anticipated that the total capitalization by all owners of the joint venture will be $400,000.</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December 2006, the Company invested $143,000 to establish a new non-industrial chemical joint venture in Thailand. The Company has a 50% ownership interest in the new entity. The new entity had no operations prior to the Company’s investment. The total increase in capitalization by both owners of the joint venture was $286,000.</w:t>
      </w:r>
    </w:p>
    <w:p>
      <w:pPr>
        <w:spacing w:after="0" w:line="194"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February 2007, the Company invested $313,582 in its industrial chemical corporate joint venture in India for a capital intensive expansion. As result of the investment by both the Company and the other owner, the total increase in capitalization of the joint venture was $647,686.</w:t>
      </w:r>
    </w:p>
    <w:p>
      <w:pPr>
        <w:spacing w:after="0" w:line="133"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Company tests goodwill annually for impairment and in interim periods if certain events occur indicating that the carrying value of goodwill may be impaired. Goodwill at each of February 28, 2007 and August 31, 2006 was $304,000.</w:t>
      </w:r>
    </w:p>
    <w:p>
      <w:pPr>
        <w:spacing w:after="0" w:line="180"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a revolving credit facility of $1,500,000 that expires on January 31, 2008. Outstanding amounts under the revolving credit facility bear interest at an annual rate based on LIBOR plus 2.25%. As of February 28, 2007, the interest rate was 7.57%, the weighted average interest rate for the six months ended February 28, 2007 was 7.58%. Amounts borrowed under the facility are collateralized by a lien on substantially all of the Company’s assets, excluding its corporate joint venture interests and intellectual property rights. The credit documents contain other terms and provisions (including representations, covenants and conditions) customary for transactions of this type. Significant financial covenants include the maintenance of a minimum fixed charge coverage ratio of 1.0 to 1.0. The Company was in compliance with all covenants under the revolving credit facility. Outstanding balances were $788,000 and $610,000 as of February 28, 2007 and August 31, 2006, respectively. The Company expects the line of credit to be extended under substantially similar terms in the near future.</w:t>
      </w:r>
    </w:p>
    <w:p>
      <w:pPr>
        <w:spacing w:after="0" w:line="17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Company has a term loan in the principal amount of $1,275,000 that matures on May 1, 2011, bears interest at a fixed rate of 8.01% and is payable in 59 monthly payments equal to approximately $10,776 (inclusive of principal and interest) which commenced June 1, 2006. All of the remaining unpaid principal and accrued interest is due and payable on the maturity date. The term loan note is secured by a first lien on the Company’s Circle Pines facility pursuant to a Mortgage dated as of May 3, 2006 between Northern Technologies Holding Company LLC and National City Bank and is guaranteed by the Company.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57" w:right="279" w:bottom="1440" w:gutter="0" w:footer="0" w:header="0"/>
        </w:sectPr>
      </w:pPr>
    </w:p>
    <w:bookmarkStart w:id="9" w:name="page10"/>
    <w:bookmarkEnd w:id="9"/>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During the six months ended February 28, 2007, the Company did not purchase or retire any shares of its common stock. During the six months ended February 28, 2007, the Company issued 22,778 shares of its common stock upon the exercise of stock options, as detailed below. The Company granted 37,245 shares of its common stock to various employees with a value of $298,330 under its 2000 Stock Incentive Plan during the six months ended February 28, 2007.</w:t>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Options Exercised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22,000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111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667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six months ended February 28, 2006, the Company did not purchase or retire any shares of common stock. The following stock options to purchase shares of common stock were exercised:</w:t>
      </w:r>
    </w:p>
    <w:p>
      <w:pPr>
        <w:spacing w:after="0" w:line="182"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Options Exercised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16,000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did not declare or pay any cash dividends during fiscal 2006 and as of April 11, 2007 had not declared or paid any cash dividends during fiscal 2007.</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issued 37,245 shares of unrestricted common stock to satisfy $298,330 of accrued payroll liability during the six months ended February 28, 2007.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5140" w:type="dxa"/>
            <w:vAlign w:val="bottom"/>
          </w:tcPr>
          <w:p>
            <w:pPr>
              <w:ind w:left="220"/>
              <w:spacing w:after="0"/>
              <w:rPr>
                <w:sz w:val="20"/>
                <w:szCs w:val="20"/>
                <w:color w:val="auto"/>
              </w:rPr>
            </w:pPr>
            <w:r>
              <w:rPr>
                <w:rFonts w:ascii="Arial" w:cs="Arial" w:eastAsia="Arial" w:hAnsi="Arial"/>
                <w:sz w:val="18"/>
                <w:szCs w:val="18"/>
                <w:b w:val="1"/>
                <w:bCs w:val="1"/>
                <w:color w:val="auto"/>
              </w:rPr>
              <w:t>TOTAL COMPREHENSIVE INCOME</w:t>
            </w:r>
          </w:p>
        </w:tc>
        <w:tc>
          <w:tcPr>
            <w:tcW w:w="4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055"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80" w:type="dxa"/>
            <w:vAlign w:val="bottom"/>
            <w:gridSpan w:val="3"/>
          </w:tcPr>
          <w:p>
            <w:pPr>
              <w:spacing w:after="0"/>
              <w:rPr>
                <w:sz w:val="20"/>
                <w:szCs w:val="20"/>
                <w:color w:val="auto"/>
              </w:rPr>
            </w:pPr>
            <w:r>
              <w:rPr>
                <w:rFonts w:ascii="Arial" w:cs="Arial" w:eastAsia="Arial" w:hAnsi="Arial"/>
                <w:sz w:val="18"/>
                <w:szCs w:val="18"/>
                <w:color w:val="auto"/>
              </w:rPr>
              <w:t>The Company’s total comprehensive income was as follows:</w:t>
            </w:r>
          </w:p>
        </w:tc>
        <w:tc>
          <w:tcPr>
            <w:tcW w:w="44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2415"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1235"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February 28,</w:t>
            </w:r>
          </w:p>
        </w:tc>
        <w:tc>
          <w:tcPr>
            <w:tcW w:w="140" w:type="dxa"/>
            <w:vAlign w:val="bottom"/>
          </w:tcPr>
          <w:p>
            <w:pPr>
              <w:spacing w:after="0"/>
              <w:rPr>
                <w:sz w:val="20"/>
                <w:szCs w:val="20"/>
                <w:color w:val="auto"/>
              </w:rPr>
            </w:pPr>
          </w:p>
        </w:tc>
        <w:tc>
          <w:tcPr>
            <w:tcW w:w="1040" w:type="dxa"/>
            <w:vAlign w:val="bottom"/>
          </w:tcPr>
          <w:p>
            <w:pPr>
              <w:jc w:val="right"/>
              <w:ind w:right="140"/>
              <w:spacing w:after="0"/>
              <w:rPr>
                <w:sz w:val="20"/>
                <w:szCs w:val="20"/>
                <w:color w:val="auto"/>
              </w:rPr>
            </w:pPr>
            <w:r>
              <w:rPr>
                <w:rFonts w:ascii="Arial" w:cs="Arial" w:eastAsia="Arial" w:hAnsi="Arial"/>
                <w:sz w:val="14"/>
                <w:szCs w:val="14"/>
                <w:b w:val="1"/>
                <w:bCs w:val="1"/>
                <w:color w:val="auto"/>
                <w:w w:val="96"/>
              </w:rPr>
              <w:t>February 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2"/>
              <w:spacing w:after="0"/>
              <w:rPr>
                <w:sz w:val="20"/>
                <w:szCs w:val="20"/>
                <w:color w:val="auto"/>
              </w:rPr>
            </w:pPr>
            <w:r>
              <w:rPr>
                <w:rFonts w:ascii="Arial" w:cs="Arial" w:eastAsia="Arial" w:hAnsi="Arial"/>
                <w:sz w:val="14"/>
                <w:szCs w:val="14"/>
                <w:b w:val="1"/>
                <w:bCs w:val="1"/>
                <w:color w:val="auto"/>
                <w:w w:val="96"/>
              </w:rPr>
              <w:t>February 28,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055" w:type="dxa"/>
            <w:vAlign w:val="bottom"/>
          </w:tcPr>
          <w:p>
            <w:pPr>
              <w:jc w:val="right"/>
              <w:ind w:right="40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8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0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40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65"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204,730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1,438,427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0"/>
              </w:rPr>
              <w:t>Other comprehensive (loss) income – foreign currency translation adjustment</w:t>
            </w:r>
          </w:p>
        </w:tc>
        <w:tc>
          <w:tcPr>
            <w:tcW w:w="4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235" w:type="dxa"/>
            <w:vAlign w:val="bottom"/>
            <w:gridSpan w:val="2"/>
          </w:tcPr>
          <w:p>
            <w:pPr>
              <w:jc w:val="right"/>
              <w:ind w:right="160"/>
              <w:spacing w:after="0"/>
              <w:rPr>
                <w:sz w:val="20"/>
                <w:szCs w:val="20"/>
                <w:color w:val="auto"/>
              </w:rPr>
            </w:pPr>
            <w:r>
              <w:rPr>
                <w:rFonts w:ascii="Arial" w:cs="Arial" w:eastAsia="Arial" w:hAnsi="Arial"/>
                <w:sz w:val="18"/>
                <w:szCs w:val="18"/>
                <w:color w:val="auto"/>
              </w:rPr>
              <w:t>(67,645)</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127,703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303,805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(188,326)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65"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332,433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1,742,232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440" w:type="dxa"/>
            <w:vAlign w:val="bottom"/>
            <w:vMerge w:val="restart"/>
          </w:tcPr>
          <w:p>
            <w:pPr>
              <w:jc w:val="right"/>
              <w:ind w:right="132"/>
              <w:spacing w:after="0"/>
              <w:rPr>
                <w:sz w:val="20"/>
                <w:szCs w:val="20"/>
                <w:color w:val="auto"/>
              </w:rPr>
            </w:pPr>
            <w:r>
              <w:rPr>
                <w:rFonts w:ascii="Arial" w:cs="Arial" w:eastAsia="Arial" w:hAnsi="Arial"/>
                <w:sz w:val="18"/>
                <w:szCs w:val="18"/>
                <w:color w:val="auto"/>
                <w:w w:val="99"/>
              </w:rPr>
              <w:t>10</w:t>
            </w:r>
          </w:p>
        </w:tc>
        <w:tc>
          <w:tcPr>
            <w:tcW w:w="12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2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-368935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-368935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-368935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-368935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-368935</wp:posOffset>
            </wp:positionV>
            <wp:extent cx="24396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3967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No options to purchase shares of common stock were excluded from the computation of common share equivalents as of February 28, 2007 and February 28, 2006, as all stock option exercise prices were less than the average market price of a share of common stock.</w:t>
      </w:r>
    </w:p>
    <w:p>
      <w:pPr>
        <w:spacing w:after="0" w:line="18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2007, the Company’s stockholders approved a new 2007 Stock Incentive Plan and a new Employee Stock Purchase Plan. The Compensation Committee of the Board of Directors administers both of the plans. The newly approved 2007 Stock Incentive Plan replaced the Company’s 2000 Stock Incentive Plan, which is now terminated with respect to future grants.</w:t>
      </w:r>
    </w:p>
    <w:p>
      <w:pPr>
        <w:spacing w:after="0" w:line="19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2007 Stock Incentive Plan provides for the grant of up to a total of 400,000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Options granted under the Plan generally have a term of five years and become exercisable over a three- or four-year period beginning on the one-year anniversary date of the grant. Options are granted at per share exercise prices equal to the market value of the Company’s common stock on the date of grant.</w:t>
      </w:r>
    </w:p>
    <w:p>
      <w:pPr>
        <w:spacing w:after="0" w:line="19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Employee Stock Purchase Plan provides for purchase of up to 100,000 common shares for employees of the Company to purchase on a periodic basis through payroll deductions at a 10% discount to the fair market value of the Company’s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February 28,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05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92"/>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05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Contractual Life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3"/>
              </w:rPr>
              <w:t>Options</w:t>
            </w:r>
          </w:p>
        </w:tc>
        <w:tc>
          <w:tcPr>
            <w:tcW w:w="2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74"/>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Option Grant Date</w:t>
            </w:r>
          </w:p>
        </w:tc>
        <w:tc>
          <w:tcPr>
            <w:tcW w:w="1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050" w:type="dxa"/>
            <w:vAlign w:val="bottom"/>
          </w:tcPr>
          <w:p>
            <w:pPr>
              <w:jc w:val="right"/>
              <w:ind w:right="77"/>
              <w:spacing w:after="0"/>
              <w:rPr>
                <w:sz w:val="20"/>
                <w:szCs w:val="20"/>
                <w:color w:val="auto"/>
              </w:rPr>
            </w:pPr>
            <w:r>
              <w:rPr>
                <w:rFonts w:ascii="Arial" w:cs="Arial" w:eastAsia="Arial" w:hAnsi="Arial"/>
                <w:sz w:val="14"/>
                <w:szCs w:val="14"/>
                <w:b w:val="1"/>
                <w:bCs w:val="1"/>
                <w:color w:val="auto"/>
                <w:w w:val="83"/>
              </w:rPr>
              <w:t>Exercise Prices</w:t>
            </w:r>
          </w:p>
        </w:tc>
        <w:tc>
          <w:tcPr>
            <w:tcW w:w="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Outstanding (#)</w:t>
            </w:r>
          </w:p>
        </w:tc>
        <w:tc>
          <w:tcPr>
            <w:tcW w:w="20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Exercisable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9/1/2003</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9/1/2004</w:t>
            </w:r>
          </w:p>
        </w:tc>
        <w:tc>
          <w:tcPr>
            <w:tcW w:w="31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5.25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11/12/2004</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9/1/2005</w:t>
            </w:r>
          </w:p>
        </w:tc>
        <w:tc>
          <w:tcPr>
            <w:tcW w:w="31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5.75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11/4/2005</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9/1/2006</w:t>
            </w:r>
          </w:p>
        </w:tc>
        <w:tc>
          <w:tcPr>
            <w:tcW w:w="31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8.01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1/23/07</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90,167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-233045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-233045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-233045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-233045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-233045</wp:posOffset>
            </wp:positionV>
            <wp:extent cx="250825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08250" cy="2984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six months ended February 28, 2007 and 2006 was $2.95 and $2.00,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15.</w:t>
            </w:r>
          </w:p>
        </w:tc>
        <w:tc>
          <w:tcPr>
            <w:tcW w:w="8400" w:type="dxa"/>
            <w:vAlign w:val="bottom"/>
          </w:tcPr>
          <w:p>
            <w:pPr>
              <w:ind w:left="320"/>
              <w:spacing w:after="0"/>
              <w:rPr>
                <w:sz w:val="20"/>
                <w:szCs w:val="20"/>
                <w:color w:val="auto"/>
              </w:rPr>
            </w:pPr>
            <w:r>
              <w:rPr>
                <w:rFonts w:ascii="Arial" w:cs="Arial" w:eastAsia="Arial" w:hAnsi="Arial"/>
                <w:sz w:val="18"/>
                <w:szCs w:val="18"/>
                <w:b w:val="1"/>
                <w:bCs w:val="1"/>
                <w:color w:val="auto"/>
              </w:rPr>
              <w:t>SEGMENT INFORMATION</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740" w:type="dxa"/>
            <w:vAlign w:val="bottom"/>
            <w:gridSpan w:val="3"/>
          </w:tcPr>
          <w:p>
            <w:pPr>
              <w:spacing w:after="0"/>
              <w:rPr>
                <w:sz w:val="20"/>
                <w:szCs w:val="20"/>
                <w:color w:val="auto"/>
              </w:rPr>
            </w:pPr>
            <w:r>
              <w:rPr>
                <w:rFonts w:ascii="Arial" w:cs="Arial" w:eastAsia="Arial" w:hAnsi="Arial"/>
                <w:sz w:val="18"/>
                <w:szCs w:val="18"/>
                <w:color w:val="auto"/>
              </w:rPr>
              <w:t>Net sales by geographic location as a percentage of total net sales were as follows: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February 28,</w:t>
            </w:r>
          </w:p>
        </w:tc>
        <w:tc>
          <w:tcPr>
            <w:tcW w:w="14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118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gridSpan w:val="2"/>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Outside the U.S.A. to:</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Joint Ventures in which the Company is a shareholder directly and indirectly</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0" w:type="dxa"/>
            <w:vAlign w:val="bottom"/>
          </w:tcPr>
          <w:p>
            <w:pPr>
              <w:ind w:left="100"/>
              <w:spacing w:after="0"/>
              <w:rPr>
                <w:sz w:val="20"/>
                <w:szCs w:val="20"/>
                <w:color w:val="auto"/>
              </w:rPr>
            </w:pPr>
            <w:r>
              <w:rPr>
                <w:rFonts w:ascii="Arial" w:cs="Arial" w:eastAsia="Arial" w:hAnsi="Arial"/>
                <w:sz w:val="18"/>
                <w:szCs w:val="18"/>
                <w:color w:val="auto"/>
              </w:rPr>
              <w:t>Unaffiliated customers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54749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7495" cy="29845"/>
                    </a:xfrm>
                    <a:prstGeom prst="rect">
                      <a:avLst/>
                    </a:prstGeom>
                    <a:noFill/>
                  </pic:spPr>
                </pic:pic>
              </a:graphicData>
            </a:graphic>
          </wp:anchor>
        </w:drawing>
      </w:r>
    </w:p>
    <w:p>
      <w:pPr>
        <w:spacing w:after="0" w:line="2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One of the Company’s North American customers accounted for in the aggregate approximately 32.0% and 27.8% of the Company’s net sales for the six months ended February 28, 2007 and 2006 respectively, and $256,039 and $207,630 of the Company’s receivables at February 28, 2007 and August 31, 2006, respectively.</w:t>
      </w:r>
    </w:p>
    <w:p>
      <w:pPr>
        <w:spacing w:after="0" w:line="18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has a 401(k) employee savings plan. Employees who meet certain age and service requirements may elect to contribute up to 15% of their salaries. The Company contributes the lesser of 50% of the participant’s contributions or 3.5% of the employee’s salary. The Company recognized expense for the savings plan of $48,132 and $46,440, for the six months ended February 28, 2007 and 2006, respectively.</w:t>
      </w:r>
    </w:p>
    <w:p>
      <w:pPr>
        <w:spacing w:after="0" w:line="15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May 18, 2006, the Company and Emeritushnic Facilities Company, Inc. (“EFC”), an entity owned by the Company’s former Chairman of the Board and Chief Executive Officer and current Chairman Emeritus, Philip M. Lynch, and certain of his family members, excluding G. Patrick Lynch, the Company’s current President and Chief Executive Officer, entered into a Consulting Agreement, effective as of May 1, 2006. Pursuant to the Consulting Agreement, the Company has engaged EFC to perform certain consulting services to the Company, including maintaining communications and relations between the Company and its joint venture partners. In consideration for such services, the Company paid EFC consulting fees totaling $150,000 in the six months ended February 28, 2007, and reimbursed EFC for out-of-pocket expenses reasonably incurred in the course of providing such services in an aggregate amount of $101,486 for the six months ended February 28, 2007. The Consulting Agreement provides for fees of $25,000 per month and up to $180,000 in expense reimbursement in a given fiscal year. Additionally, it may be terminated by either party for any reason upon at least 90 days prior written notice to the other party and may be terminated upon the occurrence of other certain events, as set forth in the Consulting Agreement. The Consulting Agreement also contains other standard and customary terms, including provisions regarding confidentiality, non-competition and non-solicitation.</w:t>
      </w:r>
    </w:p>
    <w:p>
      <w:pPr>
        <w:spacing w:after="0" w:line="1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May 1, 2006, the Company and Inter Alia Holding Co. (“Inter Alia”) entered into a termination agreement pursuant to which they mutually agreed to terminate that certain Manufacturer’s Representative Agreement dated as of October 1, 1976 and as subsequently amended thereafter. Inter Alia beneficially owns approximately 25.4% of the Company’s outstanding common stock, and Philip M. Lynch, the Company’s former Chairman of the Board and Chief Executive Officer and current Chairman Emeritus, and G. Patrick Lynch, the Company’s current President and Chief Executive Officer, are shareholders of Inter Alia. Prior to terminating the agreement, the Company reimbursed Inter Alia for travel and related expenses in the aggregate amount of $119,867 and $241,503 for the three and six months ended February 28, 2006. The Company paid Inter Alia commissions on royalties paid by corporate joint ventures and net proceeds of sales of the Company’s products of approximately $39,024 and $65,001, for the three and six months ended February 28, 2006. In addition, the Company paid health insurance premiums of $2,438 and $6,623 for the three and six months ended February 28, 2006, related to policies that insure Philip M. Lynch, the Company’s former Chairman of the Board and Chief Executive Officer and current Chairman Emeritus.</w:t>
      </w:r>
    </w:p>
    <w:p>
      <w:pPr>
        <w:spacing w:after="0" w:line="174"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Company made consulting payments to Dr. Ramani Narayan, a director of the Company, of $25,000 on each of November 8, 2005, February 1, 2006, May 1, 2006, August 1, 2006, November 2, 2006 and February 1, 2007. The consulting services rendered by Dr. Narayan related to research and development associated with various new technologies and are contracted on a quarter to quarter basis cancellable by NTIC at anytime.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ind w:right="280"/>
        <w:spacing w:after="0" w:line="306" w:lineRule="auto"/>
        <w:rPr>
          <w:sz w:val="20"/>
          <w:szCs w:val="20"/>
          <w:color w:val="auto"/>
        </w:rPr>
      </w:pPr>
      <w:r>
        <w:rPr>
          <w:rFonts w:ascii="Arial" w:cs="Arial" w:eastAsia="Arial" w:hAnsi="Arial"/>
          <w:sz w:val="16"/>
          <w:szCs w:val="16"/>
          <w:color w:val="auto"/>
        </w:rPr>
        <w:t>The Company made consulting payments to Dr. Sunggyu Lee, a director of the Company, of $25,000 on each of November 8, 2005, February 1, 2006, May 1, 2006, August 1, 2006, November 28, 2006 and February 1, 2007. The consulting services rendered by Dr. Lee related to research and development associated with various new technologies and are contracted on a quarter to quarter basis cancellable by NTIC at anytime.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Note 19.</w:t>
      </w:r>
    </w:p>
    <w:p>
      <w:pPr>
        <w:spacing w:after="0" w:line="21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the expected federal income tax at the statutory rate with the provisions for income taxes for the six months ended February 28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1355"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February 28,</w:t>
            </w:r>
          </w:p>
        </w:tc>
        <w:tc>
          <w:tcPr>
            <w:tcW w:w="20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75" w:type="dxa"/>
            <w:vAlign w:val="bottom"/>
          </w:tcPr>
          <w:p>
            <w:pPr>
              <w:jc w:val="right"/>
              <w:ind w:right="397"/>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125" w:type="dxa"/>
            <w:vAlign w:val="bottom"/>
          </w:tcPr>
          <w:p>
            <w:pPr>
              <w:spacing w:after="0"/>
              <w:rPr>
                <w:sz w:val="18"/>
                <w:szCs w:val="18"/>
                <w:color w:val="auto"/>
              </w:rPr>
            </w:pPr>
          </w:p>
        </w:tc>
        <w:tc>
          <w:tcPr>
            <w:tcW w:w="1355" w:type="dxa"/>
            <w:vAlign w:val="bottom"/>
            <w:gridSpan w:val="2"/>
          </w:tcPr>
          <w:p>
            <w:pPr>
              <w:jc w:val="right"/>
              <w:ind w:right="160"/>
              <w:spacing w:after="0"/>
              <w:rPr>
                <w:sz w:val="20"/>
                <w:szCs w:val="20"/>
                <w:color w:val="auto"/>
              </w:rPr>
            </w:pPr>
            <w:r>
              <w:rPr>
                <w:rFonts w:ascii="Arial" w:cs="Arial" w:eastAsia="Arial" w:hAnsi="Arial"/>
                <w:sz w:val="18"/>
                <w:szCs w:val="18"/>
                <w:color w:val="auto"/>
              </w:rPr>
              <w:t>(548,000)</w:t>
            </w: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125" w:type="dxa"/>
            <w:vAlign w:val="bottom"/>
            <w:shd w:val="clear" w:color="auto" w:fill="CCEEFF"/>
          </w:tcPr>
          <w:p>
            <w:pPr>
              <w:spacing w:after="0"/>
              <w:rPr>
                <w:sz w:val="18"/>
                <w:szCs w:val="18"/>
                <w:color w:val="auto"/>
              </w:rPr>
            </w:pP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25" w:type="dxa"/>
            <w:vAlign w:val="bottom"/>
          </w:tcPr>
          <w:p>
            <w:pPr>
              <w:spacing w:after="0"/>
              <w:rPr>
                <w:sz w:val="18"/>
                <w:szCs w:val="18"/>
                <w:color w:val="auto"/>
              </w:rPr>
            </w:pPr>
          </w:p>
        </w:tc>
        <w:tc>
          <w:tcPr>
            <w:tcW w:w="1355"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5" w:type="dxa"/>
            <w:vAlign w:val="bottom"/>
            <w:shd w:val="clear" w:color="auto" w:fill="CCEEFF"/>
          </w:tcPr>
          <w:p>
            <w:pPr>
              <w:spacing w:after="0"/>
              <w:rPr>
                <w:sz w:val="18"/>
                <w:szCs w:val="18"/>
                <w:color w:val="auto"/>
              </w:rPr>
            </w:pP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April 2007 REACT-NTI, LLC (“REACT”), a company that is 75% owned by NTIC was served with a summons and complaint that was filed by Shamrock Technologies, Inc. (“Shamrock”) in state court in New York. This case has been removed to the Federal District Court for the Southern District of New York. The lawsuit seeks payment from REACT of commissions in the approximate amount of $314,500 owed by REACT under a license agreement between REACT and Shamrock. The complaint alleges breach of the license agreement by REACT and seeks damages in an unspecified amount for such breach as well as damages of approximately $300,000 for the alleged failure of REACT to purchase from Shamrock certain inventory manufactured for sale to a customer. REACT, acknowledges that the commissions are owed, but denies all of the claims of breach of the license agreement by it. REACT intends to appropriately defend itself against the allegations of breach and also intends to file counter-claim for a breach of the license agreement by Shamrock and to pursue injunctive relieve against Shamrock to protect its licensed Technology and Confidential Information disclosed to Shamrock under the license agreement.</w:t>
      </w:r>
    </w:p>
    <w:p>
      <w:pPr>
        <w:spacing w:after="0" w:line="17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February 2007, NTIC was served with a summons and complaint that was originally filed by Evelyna Cantwell and Jack Cantwell, individually and also doing business as Byrd-Walsh International, LLC in the Federal District Court for the Southern District of Florida. The lawsuit alleges breach of contract, breach of implied contract, promissory estoppels, equitable estoppels, negligence, wrongful conversion, fraud, constructive fraud, misappropriation, and violation of the Uniform Trade Secrets Act. The suit seeks total damages in excess of $45 million. Based on the allegations in the complaint and our understanding of relevant facts and circumstances, we believe that the claims made by the Cantwell’s and Byrd-Walsh in this lawsuit are without merit and we intend to vigorously defend against them. The amounts claimed in this lawsuit are substantial, however, and there can be no assurances as to the outcome of this pending action. Likewise, there can be no assurances regarding the impact that this matter may have on our financial results or financial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0" w:right="239" w:bottom="1440" w:gutter="0" w:footer="0" w:header="0"/>
        </w:sectPr>
      </w:pPr>
    </w:p>
    <w:bookmarkStart w:id="13" w:name="page14"/>
    <w:bookmarkEnd w:id="13"/>
    <w:p>
      <w:pPr>
        <w:spacing w:after="0" w:line="289" w:lineRule="auto"/>
        <w:rPr>
          <w:sz w:val="20"/>
          <w:szCs w:val="20"/>
          <w:color w:val="auto"/>
        </w:rPr>
      </w:pPr>
      <w:r>
        <w:rPr>
          <w:rFonts w:ascii="Arial" w:cs="Arial" w:eastAsia="Arial" w:hAnsi="Arial"/>
          <w:sz w:val="16"/>
          <w:szCs w:val="16"/>
          <w:color w:val="auto"/>
        </w:rPr>
        <w:t>The Company is involved in a legal action in Finland whereby the Company sued a Finnish company for trademark infringement. The Company won the initial case, but has subsequently lost on appeal. The Company is currently appealing the latest court decision. The outcome of the appeal is unknown and any potential loss cannot be estimated at this time; however, the potential judgment or settlement resulting from the case could have a material impact on the financial position or results of operations of the Company. The Company has put up a $600,000 Stand-by Letter of Credit to potentially fund NTIC’s obligations related to the courts in Finland against the defendant’s products that were seized as contraband pending the outcome of the lawsuit. Advances made under the demand letter of credit will be made at the sole discretion of National City Bank and will be due and payable on demand. Any outstanding unpaid principal balance under the demand letter of credit bears interest at an annual rate based on LIBOR plus 2.25%. Interest is payable in arrears beginning on January 15, 2007 and on the 15th day of each month thereafter and on demand.</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There are no other legal actions arising in the ordinary course of business that management is of the opinion that any judgment or settlement therefrom would have a material adverse effect on the financial position or results of operations of the Company.</w:t>
      </w:r>
    </w:p>
    <w:p>
      <w:pPr>
        <w:spacing w:after="0" w:line="18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fiscal 1999, a subsidiary of the Company, NTI Facilities, Inc., acquired a one-third ownership of Omni-Northern Ltd., an Ohio limited liability company and entered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NTI Facilities consolidates its ownership in Omni-Northern LTD utilizing the equity method of consolidation. The property has an approximate value of $2,205,000, based upon the cash-to-mortgage acquisition price of the property paid in fiscal 2000. The Company has guaranteed up to $329,082 of the Omni-Northern Ltd.’s $1,903,571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interest in Omni-Northern Ltd., NTI Facilities Inc. is entitled to one-third of the operating profits (losses) of Omni-Northern Ltd. Omni-Northern has leased the remaining 50% of the net rental space to other third parties.</w:t>
      </w:r>
    </w:p>
    <w:p>
      <w:pPr>
        <w:spacing w:after="0" w:line="17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November 16, 2006, the “independent directors” of the Company approved the material terms of an annual bonus plan for executive officers and certain employees of the Company for fiscal year ending August 31, 2007, the purpose of which is to align the interests of the Company and its subsidiaries,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97" w:lineRule="exact"/>
        <w:rPr>
          <w:sz w:val="20"/>
          <w:szCs w:val="20"/>
          <w:color w:val="auto"/>
        </w:rPr>
      </w:pPr>
    </w:p>
    <w:p>
      <w:pPr>
        <w:ind w:left="1160" w:hanging="571"/>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total amount available under the bonus plan will be up to 25% of the Company’s earnings before interest, taxes and other income (EBITOI);</w:t>
      </w:r>
    </w:p>
    <w:p>
      <w:pPr>
        <w:spacing w:after="0" w:line="180" w:lineRule="exact"/>
        <w:rPr>
          <w:rFonts w:ascii="Arial" w:cs="Arial" w:eastAsia="Arial" w:hAnsi="Arial"/>
          <w:sz w:val="16"/>
          <w:szCs w:val="16"/>
          <w:color w:val="auto"/>
        </w:rPr>
      </w:pPr>
    </w:p>
    <w:p>
      <w:pPr>
        <w:ind w:left="1160" w:right="160" w:hanging="571"/>
        <w:spacing w:after="0" w:line="268"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18"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payment of bonuses under the plan will be made in both cash and stock, the exact amount and percentages of which will be determined by the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OR PLAN OF OPERATION</w:t>
      </w:r>
    </w:p>
    <w:p>
      <w:pPr>
        <w:spacing w:after="0" w:line="23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NTIC’s financial condition and results of operations. Statements that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90" w:right="259" w:bottom="1440" w:gutter="0" w:footer="0" w:header="0"/>
        </w:sectPr>
      </w:pPr>
    </w:p>
    <w:bookmarkStart w:id="14" w:name="page15"/>
    <w:bookmarkEnd w:id="14"/>
    <w:p>
      <w:pPr>
        <w:ind w:right="160"/>
        <w:spacing w:after="0" w:line="306" w:lineRule="auto"/>
        <w:rPr>
          <w:sz w:val="20"/>
          <w:szCs w:val="20"/>
          <w:color w:val="auto"/>
        </w:rPr>
      </w:pPr>
      <w:r>
        <w:rPr>
          <w:rFonts w:ascii="Arial" w:cs="Arial" w:eastAsia="Arial" w:hAnsi="Arial"/>
          <w:sz w:val="16"/>
          <w:szCs w:val="16"/>
          <w:color w:val="auto"/>
        </w:rPr>
        <w:t>are not historical are forward-looking and involve risks and uncertainties discussed under the captions “Forward-Looking Statements” and “Risk Factors” appearing elsewhere in this report. The following discussion of the results of the operations and financial condition of NTIC should be read in conjunction with NTIC’s consolidated financial statements and the related notes thereto included under Part I, Item 1 entitled “Financial Statements” of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NTIC focuses on developing, marketing and selling proprietary environmentally responsible materials science based products and technical services directly and via a network of independent distributors, manufacturer sales representatives and joint ventures in over 50 countries. NTIC manufactures, markets and sells primarily rust and corrosion inhibiting products and services for automotive, electronics, electrical, mechanical and military applications, sold under the brand names Zerust® and EXCOR®. NTIC also offers direct, worldwide on-site technical support on rust and corrosion issues. In North America, NTIC markets its technical service and Zerust® products principally to industrial users by a direct sales force and through a network of independent distributors and sales representatives. NTIC’s technical service representatives work directly with the end users of NTIC’s products to analyze their specific needs and develop systems to meet their technical requirements.</w:t>
      </w:r>
    </w:p>
    <w:p>
      <w:pPr>
        <w:spacing w:after="0" w:line="2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NTIC participates, either directly or indirectly through holding companies, in approximately 30 corporate joint venture arrangements in North America, South America, Europe, Asia and the Middle East. Each of these joint ventures manufactures, markets and sells finished products generally in the countries to which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bio-based additives with both industrial and personal care applications, plastic recycling technology and electronic sensing instruments.</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React-NTI LLC is an industrial chemical corporate joint venture of NTIC that focuses on the development, manufacture and marketing of proprietary lines of bio-based additives with both industrial and personal care applications. Based on cotton, soy, corn and other renewable resources, React-NTI products outperform many synthetically derived competing alternatives. React-NTI’s target market includes NTIC’s existing industrial customer base, as well as the personal care and cosmetics industry. As of February 28, 2005, NTIC began fully consolidating this 75% owned subsidiary, which was previously accounted for using the equity method.</w:t>
      </w:r>
    </w:p>
    <w:p>
      <w:pPr>
        <w:spacing w:after="0" w:line="19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NTIC conducts all foreign transactions based on the U.S. dollar, except for its investments in various foreign corporate joint ventures. The exchange rate differential relating to investments in foreign corporate joint ventures is accounted for under the requirements of SFAS No. 52, Foreign Currency Translation.</w:t>
      </w:r>
    </w:p>
    <w:p>
      <w:pPr>
        <w:spacing w:after="0" w:line="139"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The Company’s net sales increased 2.9% and 3.9% during the three and six months ended February 28, 2007 as compared to the same periods in fiscal 2006 primarily as a result of the increase of React-NTI products to new and existing customers in North America offset by a slight decrease in net sales of Zerust® products. Net sales of Zerust® products decreased $89,301 to $5,716,602 or the six months ended February 28, 2007 as compared to the same period in fiscal 2006. Net sales of React-NTI products increased $412,248 to $2,785,667 for the six months ended February 28, 2007 as compared to the same period in fiscal 2006.</w:t>
      </w:r>
    </w:p>
    <w:p>
      <w:pPr>
        <w:spacing w:after="0" w:line="1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Cost of sales as a percentage of net sales increased slightly to 63.3% and 63.6% during the three and six months ended February 28, 2007 as compared to 61.3% and 61.7% during the same periods in fiscal 2006, primarily as a result of the increase in raw material prices. Operating expenses as a percentage of net sales increased 2.6% and 2.9% during the three and six months ended February 28, 2007 as compared to the same periods in fiscal 2006 primarily as a result of increased general and administrative expenses.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net sales of all of the Company’s joint ventures increased 26.1% to $39,272,049 during the six months ended February 28, 2007 as compared to $31,153,683 during the same period in fiscal 2006. The Company receives fees for technical and other support services it provides to its joint ventures based on the revenues of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0" w:right="239" w:bottom="1440" w:gutter="0" w:footer="0" w:header="0"/>
        </w:sectPr>
      </w:pPr>
    </w:p>
    <w:bookmarkStart w:id="15" w:name="page16"/>
    <w:bookmarkEnd w:id="15"/>
    <w:p>
      <w:pPr>
        <w:ind w:right="140"/>
        <w:spacing w:after="0" w:line="291" w:lineRule="auto"/>
        <w:rPr>
          <w:sz w:val="20"/>
          <w:szCs w:val="20"/>
          <w:color w:val="auto"/>
        </w:rPr>
      </w:pPr>
      <w:r>
        <w:rPr>
          <w:rFonts w:ascii="Arial" w:cs="Arial" w:eastAsia="Arial" w:hAnsi="Arial"/>
          <w:sz w:val="16"/>
          <w:szCs w:val="16"/>
          <w:color w:val="auto"/>
        </w:rPr>
        <w:t>individual joint ventures. The Company recognized increased fee income of $211,954 for such technical and support services during the six months ended February 28, 2007 as compared to the same period in fiscal 2006 due to the increase in total net sales of the joint ventures. The Company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The Company incurred increased direct joint venture expenses of $200,771 during the six months ended February 28, 2007 compared to the same period in fiscal 2006.</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NTIC’s net income for the three months ended February 28, 2007 increased $243,473 to $448,203 compared to $204,730 for the three months ended February 28, 2006, additionally, net income for the six months ended February 28, 2007 increased $599,713 to $1,438,427 compared to $838,714 for the six months ended February 28, 2006.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NTIC’s working capital was $3,208,032 at February 28, 2007, including $240,554 in cash and cash equivalents. In August 2006, NTIC increased its existing</w:t>
      </w:r>
    </w:p>
    <w:p>
      <w:pPr>
        <w:spacing w:after="0" w:line="38"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$1,000,000 revolving credit facility with National City Bank to $1,500,000. As of February 28, 2007, NTIC had $788,000 outstanding under the revolving credit facility. The revolving credit facility expires on January 31, 2008 although NTIC expects to renew it on substantially the same terms before it expires.</w:t>
      </w:r>
    </w:p>
    <w:p>
      <w:pPr>
        <w:spacing w:after="0" w:line="14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NTIC elected not to pay a cash dividend in fiscal 2006, based on fiscal 2005 results, or thus far in fiscal 2007, based on fiscal 2006 results, in order to preserve cash and make investments in future operations. NTIC expects to meet its future liquidity requirements during at least the next twelve months by using its existing cash and cash equivalents, forecasted cash flows from future operations, distributions of earnings and technical assistance fees to NTIC from its joint venture investments and funds available through existing financing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year to date results of operations for the six months ended February 28, 2007 and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center"/>
              <w:ind w:right="29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February 28, 2007</w:t>
            </w:r>
          </w:p>
        </w:tc>
        <w:tc>
          <w:tcPr>
            <w:tcW w:w="2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Net Sales</w:t>
            </w:r>
          </w:p>
        </w:tc>
        <w:tc>
          <w:tcPr>
            <w:tcW w:w="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February 28, 2006</w:t>
            </w:r>
          </w:p>
        </w:tc>
        <w:tc>
          <w:tcPr>
            <w:tcW w:w="180" w:type="dxa"/>
            <w:vAlign w:val="bottom"/>
          </w:tcPr>
          <w:p>
            <w:pPr>
              <w:spacing w:after="0"/>
              <w:rPr>
                <w:sz w:val="15"/>
                <w:szCs w:val="15"/>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Net Sales</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Change</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8,502,269</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8,179,322</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322,947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5,404,119</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63.6%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5,044,356</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359,763</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1,579,204</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1,572,189</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1,627,172</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1,250,470</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376,702</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130,375</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148,426</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(18,051)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430"/>
        </w:trPr>
        <w:tc>
          <w:tcPr>
            <w:tcW w:w="9020" w:type="dxa"/>
            <w:vAlign w:val="bottom"/>
            <w:gridSpan w:val="15"/>
          </w:tcPr>
          <w:p>
            <w:pPr>
              <w:spacing w:after="0"/>
              <w:rPr>
                <w:sz w:val="20"/>
                <w:szCs w:val="20"/>
                <w:color w:val="auto"/>
              </w:rPr>
            </w:pPr>
            <w:r>
              <w:rPr>
                <w:rFonts w:ascii="Arial" w:cs="Arial" w:eastAsia="Arial" w:hAnsi="Arial"/>
                <w:sz w:val="18"/>
                <w:szCs w:val="18"/>
                <w:color w:val="auto"/>
                <w:w w:val="88"/>
              </w:rPr>
              <w:t>The following table sets forth our results of operations for the second quarter (three months) ended February 28, 2007 and 2006.</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center"/>
              <w:ind w:right="29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February 28, 2007</w:t>
            </w:r>
          </w:p>
        </w:tc>
        <w:tc>
          <w:tcPr>
            <w:tcW w:w="2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Net Sales</w:t>
            </w:r>
          </w:p>
        </w:tc>
        <w:tc>
          <w:tcPr>
            <w:tcW w:w="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February 28, 2006</w:t>
            </w:r>
          </w:p>
        </w:tc>
        <w:tc>
          <w:tcPr>
            <w:tcW w:w="180" w:type="dxa"/>
            <w:vAlign w:val="bottom"/>
          </w:tcPr>
          <w:p>
            <w:pPr>
              <w:spacing w:after="0"/>
              <w:rPr>
                <w:sz w:val="15"/>
                <w:szCs w:val="15"/>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Net Sales</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Change</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20" w:type="dxa"/>
            <w:vAlign w:val="bottom"/>
            <w:gridSpan w:val="3"/>
          </w:tcPr>
          <w:p>
            <w:pPr>
              <w:spacing w:after="0"/>
              <w:rPr>
                <w:sz w:val="8"/>
                <w:szCs w:val="8"/>
                <w:color w:val="auto"/>
              </w:rPr>
            </w:pPr>
          </w:p>
        </w:tc>
        <w:tc>
          <w:tcPr>
            <w:tcW w:w="30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1500" w:type="dxa"/>
            <w:vAlign w:val="bottom"/>
            <w:gridSpan w:val="3"/>
          </w:tcPr>
          <w:p>
            <w:pPr>
              <w:spacing w:after="0"/>
              <w:rPr>
                <w:sz w:val="8"/>
                <w:szCs w:val="8"/>
                <w:color w:val="auto"/>
              </w:rPr>
            </w:pPr>
          </w:p>
        </w:tc>
        <w:tc>
          <w:tcPr>
            <w:tcW w:w="40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3,884,895</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3,775,693</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2,459,064</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63.3%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2,315,245</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143,819</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810,165</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874,234</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(64,069)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804,289</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563,911</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240,378</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45,335</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78,672</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(33,337)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Net Sales and Cost of Sales</w:t>
      </w:r>
      <w:r>
        <w:rPr>
          <w:rFonts w:ascii="Arial" w:cs="Arial" w:eastAsia="Arial" w:hAnsi="Arial"/>
          <w:sz w:val="16"/>
          <w:szCs w:val="16"/>
          <w:color w:val="auto"/>
        </w:rPr>
        <w:t>. NTIC’s net sales originating in the United States increased during the three and six months ended February 28, 2007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periods in fiscal 2006 primarily as a result of an increase in the demand for React-NTI products sold to an existing customer in North America offset by a decrease in demand for Zerust® products sold to existing customers. Cost of sales increased as a percentage of net sales for the three and six months ended February 28, 2007 compared to the same period in fiscal 2006 primarily as a result of an increase in petroleum based raw material prices.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0" w:right="239" w:bottom="1440" w:gutter="0" w:footer="0" w:header="0"/>
        </w:sectPr>
      </w:pPr>
    </w:p>
    <w:bookmarkStart w:id="16" w:name="page17"/>
    <w:bookmarkEnd w:id="16"/>
    <w:p>
      <w:pPr>
        <w:ind w:right="160"/>
        <w:spacing w:after="0" w:line="291"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a negligible amount for the six months ended February 28, 2007 compared the same period in fiscal 2006.</w:t>
      </w:r>
      <w:r>
        <w:rPr>
          <w:rFonts w:ascii="Arial" w:cs="Arial" w:eastAsia="Arial" w:hAnsi="Arial"/>
          <w:sz w:val="16"/>
          <w:szCs w:val="16"/>
          <w:i w:val="1"/>
          <w:iCs w:val="1"/>
          <w:color w:val="auto"/>
        </w:rPr>
        <w:t xml:space="preserve"> </w:t>
      </w:r>
      <w:r>
        <w:rPr>
          <w:rFonts w:ascii="Arial" w:cs="Arial" w:eastAsia="Arial" w:hAnsi="Arial"/>
          <w:sz w:val="16"/>
          <w:szCs w:val="16"/>
          <w:color w:val="auto"/>
        </w:rPr>
        <w:t>Selling expenses decreased for the three months ended February 28, 2007 compared the same period in fiscal 2006 primarily as a result of decreases in (i) consulting expense of $63,000, (ii) commissions of $10,000,(iii) expense related to the sale of React products of $45,000. These decreases were partially offset by increases in salary and related benefit expenses of $64,000. Selling expenses as a percentage of net sales decreased for the six months ended February 28, 2007 and decreased for the three months ended February 28, 2007 compared to same period in fiscal 2006 primarily as a result of the changes in spending as described above and the fluctuation in sales.</w:t>
      </w:r>
    </w:p>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for the six months ended February 28, 2007 compared to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fiscal 2006 primarily as a result of increases in (i) information technology expenses of $57,000, (ii) insurance expense of $22,000, (iii) legal expenses of $34,000, (iv) audit and tax expense of $35,000, (v) consulting expenses of $37,000, (vi) miscellaneous charges and bad debt of $37,000 and (vii) depreciation expense of $45,000 . These increases were partially offset by decreases in directors’ fees and expenses of $10,000. General and Administrative Expenses increased for the three months ended February 28, 2007 compared to same period in fiscal 2006 primarily as a result the increases associated with the six month changes noted above. As a percentage of net sales, general and administrative expenses increased slightly for the three and six months ended February 28, 2007 compared to same period in fiscal 2006 primarily as a result of the changes in spending as described above.</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Lab and Technical Support Expenses</w:t>
      </w:r>
      <w:r>
        <w:rPr>
          <w:rFonts w:ascii="Arial" w:cs="Arial" w:eastAsia="Arial" w:hAnsi="Arial"/>
          <w:sz w:val="18"/>
          <w:szCs w:val="18"/>
          <w:color w:val="auto"/>
        </w:rPr>
        <w:t>. NTIC’s lab and technical support expenses decreased slightly for the three and six months ended February 28, 2007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fiscal 2006. As a percentage of net sales, lab and technical support expenses decreased by a negligible amount for the three and six months ended February 28, 2007 compared to same period in fiscal 2006.</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International Corporate Joint Ventures and Holding Companies</w:t>
      </w:r>
      <w:r>
        <w:rPr>
          <w:rFonts w:ascii="Arial" w:cs="Arial" w:eastAsia="Arial" w:hAnsi="Arial"/>
          <w:sz w:val="16"/>
          <w:szCs w:val="16"/>
          <w:color w:val="auto"/>
        </w:rPr>
        <w:t>. NTIC continues its business program of establishing corporate joint venture arrangements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markets directly or indirectly through holding companies. NTIC and/or an existing corporate joint venture manufactures and supplies proprietary ingredients, which make the finished products functional and enable manufacturing of the finished products to take place in the foreign countries. NTIC’s corporate joint ventures then market the finished products in their territories, and NTIC’s corporate joint ventures’ profits are shared by the corporate joint venture shareholders in accordance with their ownership percentages of the joint venture entity.</w:t>
      </w:r>
    </w:p>
    <w:p>
      <w:pPr>
        <w:spacing w:after="0" w:line="17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had equity in income of industrial chemical corporate joint ventures and holding companies of $1,629,734 and $1,315,326 for the six months ended February 28, 2007 and 2006, respectively and $994,515 and $585,808 for the three months ended February 28, 2007 and 2006, respectively. The increase in equity in income was due to the increase in revenue and profitability due to the growth of corporate joint ventures as a whole.</w:t>
      </w:r>
    </w:p>
    <w:p>
      <w:pPr>
        <w:spacing w:after="0" w:line="16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receives fees for technical and other support to the Company’s corporate joint ventures based on the revenues of the individual corporate joint ventures. The Company recognized fee income for such support in the amounts of $2,346,003 and $2,134,049 for the six months ended February 28, 2007 and 2006, respectively and $1,213,162 and $1,019,989 for the three months ended February 28, 2007 and 2006, respectively. The increase in fees for technical and other support to its corporate joint ventures was due to the increase in revenues and profitability from the corporate joint ventures as a whole.</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sponsors a worldwide corporate joint venture conference approximately every three to four years in which all of its corporate joint ventures are invited to participate. The Company defers a portion of its technical and other support fees received from its corporate joint ventures in each accounting period leading up to the next conference, reflecting that the Company has not fully earned the payments received during that period. The next corporate joint venture conference is scheduled to be held in 2008. There was $144,000 of deferred income recorded within other accrued liabilities at February 28, 2007, related to this future conference. The costs associated with these joint venture conferences are offset against the deferral as incurred, generally in the period in which the conference is held and immediately before.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90" w:right="259" w:bottom="1440" w:gutter="0" w:footer="0" w:header="0"/>
        </w:sectPr>
      </w:pPr>
    </w:p>
    <w:bookmarkStart w:id="17" w:name="page18"/>
    <w:bookmarkEnd w:id="17"/>
    <w:p>
      <w:pPr>
        <w:ind w:right="80"/>
        <w:spacing w:after="0" w:line="308" w:lineRule="auto"/>
        <w:rPr>
          <w:sz w:val="20"/>
          <w:szCs w:val="20"/>
          <w:color w:val="auto"/>
        </w:rPr>
      </w:pPr>
      <w:r>
        <w:rPr>
          <w:rFonts w:ascii="Arial" w:cs="Arial" w:eastAsia="Arial" w:hAnsi="Arial"/>
          <w:sz w:val="15"/>
          <w:szCs w:val="15"/>
          <w:color w:val="auto"/>
        </w:rPr>
        <w:t>The Company incurred direct expenses related to its corporate joint ventures and the holding companies of $1,341,052 and $2,657,301 for the three and six months ended February 28, 2007 compared to $1,290,946 and $2,456,530 for the same periods in 2006. These expenses include: product and business development, consulting, travel, technical and marketing services to existing joint ventures, legal fees regarding the establishment of new joint ventures, registration and promotion and legal defense of worldwide trademarks and legal fees incurred in the filing of patent applications for new technologies to which the Company acquired certain rights. The increases in direct expenses incurred relating to the Company’s corporate joint ventures and holding companies for the six months ended February 28, 2007 compared to the same period in fiscal 2006 was attributable to increases of (i) web development fees of $22,000, (ii) salary, wages and associated benefits of $167,000, (iii) insurance and related expenses of $21,000 and (iv) lab and related testing fees of $40,000, offset by decreases in expenses related to consulting fees of $55,000. The increase for the three months ended February 28, 2007 as compared to February 28, 2006 was minimal. As a percentage of net sales, direct expenses incurred relating to NTIC’s corporate joint ventures and holding companies increased for the three and six months ended February 28, 2007 compared to the same respective period in fiscal 2006, primarily as a result of the changes in spending as described above.</w:t>
      </w:r>
    </w:p>
    <w:p>
      <w:pPr>
        <w:spacing w:after="0" w:line="1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$1,701 for the six months ended February 28, 2007 compared to $27,979 for the same period in fiscal 2006</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 lower average invested cash balances during the most recent period.</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$90,394 for the six months ended February 28, 2007 compared to $35,506 for the same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2006 due to a higher average outstanding debt and an increase in interest rates during the most recent period.</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Gain on sale of assets</w:t>
      </w:r>
      <w:r>
        <w:rPr>
          <w:rFonts w:ascii="Arial" w:cs="Arial" w:eastAsia="Arial" w:hAnsi="Arial"/>
          <w:sz w:val="18"/>
          <w:szCs w:val="18"/>
          <w:color w:val="auto"/>
        </w:rPr>
        <w:t>. NTIC recognized a gain on the sale of land, building and equipment that previously served as NTIC’s corporate headquarters of $724,495</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February 28, 2007. This was a one-time sale and no additional gain is anticipated to be recognized relating to the building in the future.</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taxes increased $576,713 to $1,718,427 for the six months ended February 28, 2007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$1,141,714 for the same period in fiscal 2006.</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six months ended February 28, 2007 and 2006 was calculated based on management’s estimate of NTIC’s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effective income tax rate. NTIC’s annual effective income tax rate for the six months ended February 28, 2007 and 2006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February 28, 2007, NTIC’s working capital was $3,208,032 with $240,554 in cash and cash equivalents,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working capital of $2,221,334, including $299,117 in cash and cash equivalents, as of August 31, 2006.</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NTIC has a revolving credit facility that expires on January 31, 2008. Outstanding amounts under the revolving credit facility bear interest at an annual rate based on LIBOR plus 2.25%. As of February 28, 2007, the interest rate was 7.57%. Amounts borrowed under the facility are collateralized by a lien on substantially all of NTIC’s assets, excluding its corporate joint venture interests and intellectual property rights. The credit documents contain other terms and provisions (including representations, covenants and conditions) customary for transactions of this type. Significant financial covenants include minimum fixed charge coverage ratio of 1.0 to 1.0. Other covenants include a prohibition on any merger or consolidation without prior consent of the lender and restrictions on future credit extensions and non-equity investments and the incurrence of additional indebtedness without the lender’s prior consent. NTIC is in compliance with all covenants under the revolving credit facility. The facility contains customary events of default, including nonpayment of principal or other amounts when due; breach of covenants; inaccuracy of representations and warranties; cross-default and/or cross-acceleration to other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0" w:right="239" w:bottom="1440" w:gutter="0" w:footer="0" w:header="0"/>
        </w:sectPr>
      </w:pPr>
    </w:p>
    <w:bookmarkStart w:id="18" w:name="page19"/>
    <w:bookmarkEnd w:id="18"/>
    <w:p>
      <w:pPr>
        <w:ind w:right="40"/>
        <w:spacing w:after="0" w:line="294" w:lineRule="auto"/>
        <w:rPr>
          <w:sz w:val="20"/>
          <w:szCs w:val="20"/>
          <w:color w:val="auto"/>
        </w:rPr>
      </w:pPr>
      <w:r>
        <w:rPr>
          <w:rFonts w:ascii="Arial" w:cs="Arial" w:eastAsia="Arial" w:hAnsi="Arial"/>
          <w:sz w:val="16"/>
          <w:szCs w:val="16"/>
          <w:color w:val="auto"/>
        </w:rPr>
        <w:t>indebtedness; non-compliance with laws; certain voluntary and involuntary bankruptcy events; judgments entered against NTIC; and a sale of material assets. If an event of default occurs and is continuing, the lender may, among other things, terminate its obligations thereunder and require NTIC to repay all amounts thereunder. Outstanding balances under the revolving credit facility were $788,000 and $610,000 as of February 28, 2007 and August 31, 2006, respectively. The increase in the utilization of the line of credit is a result of the cash needed to finance the renovations to the new corporate headquarters. The line of credit is subject to a borrowing base calculation and at February 28, 2007, NTIC had $712,000 in available credit under the line.</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put up a $600,000 Stand-by Letter of Credit to potentially fund NTIC’s obligations related to the courts in Finland against the defendant’s products that were seized as contraband pending the outcome of the lawsuit. Advances made under the demand letter of credit will be made at the sole discretion of National City Bank and will be due and payable on demand. Any outstanding unpaid principal balance under the demand letter of credit bears interest at an annual rate based on LIBOR plus 2.25%. Interest is payable in arrears beginning on January 15, 2007 and on the 15th day of each month thereafter and on demand.</w:t>
      </w:r>
    </w:p>
    <w:p>
      <w:pPr>
        <w:spacing w:after="0" w:line="19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NTIC believes that a combination of its existing cash and cash equivalents, funds available through existing financing arrangements and forecasted cash flows, will continue to be adequate to fund its operations, capital expenditures, debt repayments and stock repurchases for at least the next twelve months.</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Cash flows used in operations for the six months ended February 28, 2007 was $1,371,623, which resulted principally from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corporate joint ventures, decreases in accounts payable and accrued liabilities, increases in inventories and prepaid expenses, gain on sale of assets being offset by net income, depreciation and amortization expense, income tax receivable and decreases in trade receivables. Cash flows used in operations for the six months ended February 28, 2006 was $57,135, which resulted principally from equity income of corporate joint ventures, trade excluding corporate joint ventures, prepaid expenses and inventories, being offset by net income, depreciation and amortization expense, accounts payable, technical receivables from corporate joint ventures, income taxes and accrued liabilities.</w:t>
      </w:r>
    </w:p>
    <w:p>
      <w:pPr>
        <w:spacing w:after="0" w:line="174"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Net cash provided by investing activities for the six months ended February 28, 2007 was $1,201,390, which resulted from proceeds from the sale of assets, cash received from loans and deposits and dividends received from corporate joint ventures, offset by proceeds additions to property and equipment and investment in joint ventures. The Company received back its required deposit of $445,469 from the courts in Finland and replaced it with a stand-by Letter of Credit. Net cash provided by investing activities for the six months ended February 28, 2006 was $928,180, which resulted from dividends received from corporate joint ventures and cash received on loans being offset by additions to property and equipment and industrial patents.</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cash provided by financing activities for the six months ended February 28, 2007 was $111,670, which resulted primarily from the borrowings on the line of credit and cash generated from the exercising of stock options, offset by bank overdrafts. Net cash used in financing activities for the six months ended February 28, 2006 was $542,530, which resulted primarily from the payoff of the note payable.</w:t>
      </w:r>
    </w:p>
    <w:p>
      <w:pPr>
        <w:spacing w:after="0" w:line="194" w:lineRule="exact"/>
        <w:rPr>
          <w:sz w:val="20"/>
          <w:szCs w:val="20"/>
          <w:color w:val="auto"/>
        </w:rPr>
      </w:pPr>
    </w:p>
    <w:p>
      <w:pPr>
        <w:jc w:val="both"/>
        <w:ind w:right="460"/>
        <w:spacing w:after="0" w:line="298"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has no material lease commitments as of February 28, 2007, except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 NTIC has no postretirement benefit plan and does not anticipate establishing any postretirement benefit program.</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NTIC recently moved its corporate headquarters.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maturity date. The loan is secured by a first lien on the real estate and building.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0" w:right="23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t>NTIC sold the real property and building in which NTIC’s former Lino Lakes corporate headquarters was located for a purchase price of $870,000 on September 8, 2006. The net book value of the building held for sale was $89,636 and the closing costs and fees associated with the sale of the property was $46,571. The gain on sale of the property was $724,495 and is reflected in NTIC’s fiscal 2007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NTIC. NTIC’s business has not historically been seasonal.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NTIC is exposed to foreign currency exchange rate risk arising from its investments in its foreign corporate joint ventures and holding companies since NTIC’s fees for technical support and other services and dividend distributions from these foreign entities are paid in foreign currencies.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the consolidated statement of income.</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NTIC’s revolving credit facility bears interest at a rate based on LIBOR and thus may subject NTIC to some market risk on interest rates. $788,000 was outstanding under this facility as of February 28,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17 to NTIC’s consolidated financial statements for disclosure regarding related party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590" w:right="339" w:bottom="1440" w:gutter="0" w:footer="0" w:header="0"/>
        </w:sectPr>
      </w:pPr>
    </w:p>
    <w:bookmarkStart w:id="20" w:name="page21"/>
    <w:bookmarkEnd w:id="20"/>
    <w:p>
      <w:pPr>
        <w:spacing w:after="0" w:line="298" w:lineRule="auto"/>
        <w:rPr>
          <w:sz w:val="20"/>
          <w:szCs w:val="20"/>
          <w:color w:val="auto"/>
        </w:rPr>
      </w:pPr>
      <w:r>
        <w:rPr>
          <w:rFonts w:ascii="Arial" w:cs="Arial" w:eastAsia="Arial" w:hAnsi="Arial"/>
          <w:sz w:val="16"/>
          <w:szCs w:val="16"/>
          <w:color w:val="auto"/>
        </w:rPr>
        <w:t>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Corporate Joint Ventures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NTIC’s investments in corporate joint ventures are accounted for using the equity method, except for React-NTI LLC which has been fully consolidated, due to the adoption of FIN 46R. Periodically, NTIC evaluates the investments for any impairment and assesses the future cash flow projections to determine if there are any going concern issues. If an investment were determined to be impaired, then a reserve would be created to reflect the impairment on the financial results of NTIC. NTIC’s evaluation of its investments in corporate joint ventures requires NTIC to make assumptions about future cash flows of its corporate joint ventures. These assumptions require significant judgment and actual results may differ from assumed or estimated amounts. NTIC’s investments in corporate joint ventures were $12,021,431 and $10,772,102 as of February 28, 2007 and August 31, 2006,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economic conditions. Based on this evaluation, NTIC establishes a reserve for specific accounts and notes receivable that it believes are uncollectible, as well as an estimate of uncollectible receivables not specifically known. A deterioration in the financial condition of any key customer or a significant slow 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$30,000 and $10,000 at February 28, 2007 and August 31, 2006,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recognizing revenue, NTIC applies the provisions of the Securities and Exchange Commission Staff Accounting Bulletin No. 104, Revenue Recognition. 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r>
        <w:rPr>
          <w:rFonts w:ascii="Arial" w:cs="Arial" w:eastAsia="Arial" w:hAnsi="Arial"/>
          <w:sz w:val="18"/>
          <w:szCs w:val="18"/>
          <w:b w:val="1"/>
          <w:b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December 2004, FASB published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 awards, share appreciation rights, and employee share purchase plans. FAS 123(R) is a replacement of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supersedes APB Opinion No.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 and its related interpretive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The effect of the Statement is to require entities to measure the cost of employee services received in exchange for stock options based on the grant-date fair value of the award, and to recognize the cost over the period the employee is required to provide services for the award. FAS 123(R) permits entities to use any option-pricing model that meets the fair value objective in the Statement. NTIC implemented FAS 123(R) on September 1, 2006, using the modified prospective transition method.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10-QSB contains not only historical information, but also forward-looking statements within the meaning of Section 27A of the Securities Act of 1933 and Section 21E of the Securities Exchange Act of 1934. In addition, NTIC or others on NTIC’s behalf may make forward-looking statements from time to time in oral presentations, including telephone conferences, in press releases or reports, on NTIC’s Internet web site or otherwise. Statements that are not historical are forward-looking and reflect expectations and assumptions. NTIC tries to identify forward-looking statements in this report and elsewhere by using words such as “may,” “will,” “should,” “expects,” “anticipates,” “contemplates,” “estimates,” “believes,” “plans,” “projected,” “predicts,” “potential” or “continue” or the negative of these or similar terms.</w:t>
      </w:r>
    </w:p>
    <w:p>
      <w:pPr>
        <w:spacing w:after="0" w:line="19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Forward-looking statements involve risks and uncertainties. These uncertainties include factors that affect all businesses as well as matters specific to NTIC. NTIC cautions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below under the heading “Risk Factors,” as well as others that NTIC may consider immaterial or does not anticipate at this time. The risks and uncertainties described below under the heading “Risk Factors”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you, however, to consult any further disclosures it may make on related subjects in its future quarterly reports on Form 10-QSB and current reports on Form 8-K it files with or furnishes to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most significant factors known to NTIC that could materially adversely affect its business, financial condition or operating results.</w:t>
      </w:r>
    </w:p>
    <w:p>
      <w:pPr>
        <w:spacing w:after="0" w:line="248"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Over 19 percent of NTIC’s consolidated net sales, not including sales made at the various corporate joint venture, are generated outside of the U.S. and NTIC intends to continue to expand its international operations. NTIC’s international operations require management attention and financial resources and expose NTIC to difficulties presented by international economic, political, legal, accounting and business factors.</w:t>
      </w:r>
    </w:p>
    <w:p>
      <w:pPr>
        <w:spacing w:after="0" w:line="16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NTIC offers direct on-site technical support on rust and corrosion issues in over 50 countries, and operates a marketing, distribution, and technical network through joint ventures in North America, South America, Europe, Asia and the Middle East. NTIC’s consolidated net sales, not including the corporate joint venture sales, outside the United States were 19.6% of its total consolidated net sales for the six months ended February 28, 2007 and 20.3% of its total consolidated net sales for fiscal 2006. One of NTIC’s strategic objectives is to expand its international operations. NTIC has recently entered into joint ventures in Australia, the Ukraine, Thailand and the United Arab Emirates. The expansion of NTIC’s existing international operations and entry into additional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90" w:right="259" w:bottom="1440" w:gutter="0" w:footer="0" w:header="0"/>
        </w:sectPr>
      </w:pPr>
    </w:p>
    <w:bookmarkStart w:id="22" w:name="page23"/>
    <w:bookmarkEnd w:id="22"/>
    <w:p>
      <w:pPr>
        <w:jc w:val="both"/>
        <w:spacing w:after="0" w:line="306" w:lineRule="auto"/>
        <w:rPr>
          <w:sz w:val="20"/>
          <w:szCs w:val="20"/>
          <w:color w:val="auto"/>
        </w:rPr>
      </w:pPr>
      <w:r>
        <w:rPr>
          <w:rFonts w:ascii="Arial" w:cs="Arial" w:eastAsia="Arial" w:hAnsi="Arial"/>
          <w:sz w:val="16"/>
          <w:szCs w:val="16"/>
          <w:color w:val="auto"/>
        </w:rPr>
        <w:t>international markets requires management attention and financial resources. Many of the countries in which NTIC sells its products directly or indirectly through its corporate joint ventures, are, to some degree, subject to political, economic and/or social instability. NTIC’s international operations expose NTIC and its joint venture partners, representatives, agents and distributors to risks inherent in operating in foreign jurisdictions. These risks include:</w:t>
      </w:r>
    </w:p>
    <w:p>
      <w:pPr>
        <w:spacing w:after="0" w:line="161" w:lineRule="exact"/>
        <w:rPr>
          <w:sz w:val="20"/>
          <w:szCs w:val="20"/>
          <w:color w:val="auto"/>
        </w:rPr>
      </w:pPr>
    </w:p>
    <w:p>
      <w:pPr>
        <w:ind w:left="1160" w:right="26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information technology;</w:t>
      </w:r>
    </w:p>
    <w:p>
      <w:pPr>
        <w:spacing w:after="0" w:line="118" w:lineRule="exact"/>
        <w:rPr>
          <w:rFonts w:ascii="Arial" w:cs="Arial" w:eastAsia="Arial" w:hAnsi="Arial"/>
          <w:sz w:val="18"/>
          <w:szCs w:val="18"/>
          <w:color w:val="auto"/>
        </w:rPr>
      </w:pPr>
    </w:p>
    <w:p>
      <w:pPr>
        <w:jc w:val="both"/>
        <w:ind w:left="1160" w:right="360" w:hanging="571"/>
        <w:spacing w:after="0" w:line="259"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26"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pressure that NTIC or its corporate joint ventures may experience internationally;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NTIC cannot assure you that one or more of the factors listed above will not harm its business. Any material decrease in NTIC’s international sales could adversely influence NTIC’s operating results.</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NTIC’s liquidity and financial position rely on dividend distributions from its corporate joint ventures, which if such dividends cease or are reduced could adversely affect NTIC’s liquidity and financial position.</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NTIC’s liquidity and financial position rely on dividend distributions from its corporate joint ventures. Because NTIC typically owns only 50% or less of its joint venture entities, NTIC does not control the decisions of these entities regarding whether to pay dividends and how much in dividends should be paid in any given year. Thus, NTIC cannot guarantee that any of its joint ventures will pay dividends in any given year. The failure of NTIC’s joint ventures to declare dividends in amounts typically expected by NTIC could adversely affect NTIC’s liquidity and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our reported consolidated net sales and net earnings.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since NTIC’s fees for technical support and other services and dividend distributions from these foreign entities are paid in foreign currencies. NTIC’s reported consolidated net sales and net income are subject to fluctuations in foreign exchange rates.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statements of income.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90" w:right="259" w:bottom="1440" w:gutter="0" w:footer="0" w:header="0"/>
        </w:sectPr>
      </w:pPr>
    </w:p>
    <w:bookmarkStart w:id="23" w:name="page24"/>
    <w:bookmarkEnd w:id="23"/>
    <w:p>
      <w:pPr>
        <w:ind w:right="60"/>
        <w:spacing w:after="0" w:line="259" w:lineRule="auto"/>
        <w:rPr>
          <w:sz w:val="20"/>
          <w:szCs w:val="20"/>
          <w:color w:val="auto"/>
        </w:rPr>
      </w:pPr>
      <w:r>
        <w:rPr>
          <w:rFonts w:ascii="Arial" w:cs="Arial" w:eastAsia="Arial" w:hAnsi="Arial"/>
          <w:sz w:val="18"/>
          <w:szCs w:val="18"/>
          <w:b w:val="1"/>
          <w:bCs w:val="1"/>
          <w:i w:val="1"/>
          <w:iCs w:val="1"/>
          <w:color w:val="auto"/>
        </w:rPr>
        <w:t>Approximately 32.0% of NTIC’s consolidated net sales for the six months ended February 28, 2007 and 26.6% of NTIC’s consolidated net sales for the fiscal year ended August 31, 2006 were dependent upon a single customer, the loss of which would adversely affect NTIC’s financial condition and consolidated operating results.</w:t>
      </w:r>
    </w:p>
    <w:p>
      <w:pPr>
        <w:spacing w:after="0" w:line="19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One of NTIC’s North American customers accounted for, in the aggregate, approximately 32.0% of NTIC’s consolidated net sales for the six months ended February 28, 2007 and 26.6% of NTIC’s consolidated net sales for the fiscal year ended August 31, 2006. If NTIC were to lose this customer or if this customer were to substantially decrease its purchases of NTIC’s products, NTIC’s financial condition and consolidated operating results would be adversely affected.</w:t>
      </w:r>
    </w:p>
    <w:p>
      <w:pPr>
        <w:spacing w:after="0" w:line="16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NTIC’s compliance with U.S. generally accepted accounting principles and any changes in such principles might adversely affect NTIC’s operating results and financial condition. Any requirement to consolidate NTIC’s corporate joint ventures or subject them to compliance with Sarbanes-Oxley Act of 2002 could adversely affect NTIC’s operating results and financial condition.</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 adopted accounting policy FASB Interpretation No. 46R (FIN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w:t>
      </w:r>
      <w:r>
        <w:rPr>
          <w:rFonts w:ascii="Arial" w:cs="Arial" w:eastAsia="Arial" w:hAnsi="Arial"/>
          <w:sz w:val="16"/>
          <w:szCs w:val="16"/>
          <w:i w:val="1"/>
          <w:iCs w:val="1"/>
          <w:color w:val="auto"/>
        </w:rPr>
        <w:t>a revision of FIN 46”</w:t>
      </w:r>
      <w:r>
        <w:rPr>
          <w:rFonts w:ascii="Arial" w:cs="Arial" w:eastAsia="Arial" w:hAnsi="Arial"/>
          <w:sz w:val="16"/>
          <w:szCs w:val="16"/>
          <w:color w:val="auto"/>
        </w:rPr>
        <w:t xml:space="preserve"> effective as of February 28, 2005. As a result of FIN 46R, NTIC consolidated React-NTI LLC, one of its corporate joint ventures that is 75% owned by NTIC. If the interpretation of FIN 46R were to change and NTIC were required to fully consolidate all of its corporate joint ventures or if NTIC’s corporate joint ventures otherwise would be required to be Sarbanes-Oxley compliant, NTIC would incur significant additional costs. NTIC estimates that the costs for each of its corporate joint ventures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NTIC’s implementation of such new accounting pronouncements.</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One of NTIC’s principal stockholders beneficially owns 25.2% of NTIC’s outstanding common stock and is affiliated with NTIC’s President and Chief Executive Officer and thus may be able influence matters requiring stockholder approval and could discourage or otherwise impede a transaction in which a third party wishes to purchase NTIC’s outstanding shares at a premium.</w:t>
      </w:r>
    </w:p>
    <w:p>
      <w:pPr>
        <w:spacing w:after="0" w:line="1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Inter Alia Holding Company beneficially owned approximately 25.2% of NTIC’s outstanding common stock. Inter Alia is an entity owned by, among others, G. Patrick Lynch, NTIC’s President and Chief Executive Officer and a director, and Philip M. Lynch, NTIC’s former Chairman of the Board and Chief Executive Officer and current Chairman Emeritus. Messrs. G.P. Lynch and P.M. Lynch share voting and dispositive power of shares of NTIC’s common stock held by Inter Alia Holding Company. As a result of his share ownership through Inter Alia and his position as President and Chief Executive Officer and a director of NTIC, Mr. G.P. Lynch may be able to influence the affairs and actions of NTIC, including matters requiring stockholder approval, such as the election of directors and approval of significant corporate transactions. The interests of Messrs. G.P.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NTIC is currently involved in litigation over its trademark on the use of the color Yellow in corrosion inhibiting packaging, the loss of which could adversely affect NTIC’s business.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90" w:right="279" w:bottom="1440" w:gutter="0" w:footer="0" w:header="0"/>
        </w:sectPr>
      </w:pPr>
    </w:p>
    <w:bookmarkStart w:id="24" w:name="page25"/>
    <w:bookmarkEnd w:id="24"/>
    <w:p>
      <w:pPr>
        <w:ind w:right="80"/>
        <w:spacing w:after="0" w:line="298" w:lineRule="auto"/>
        <w:rPr>
          <w:sz w:val="20"/>
          <w:szCs w:val="20"/>
          <w:color w:val="auto"/>
        </w:rPr>
      </w:pPr>
      <w:r>
        <w:rPr>
          <w:rFonts w:ascii="Arial" w:cs="Arial" w:eastAsia="Arial" w:hAnsi="Arial"/>
          <w:sz w:val="16"/>
          <w:szCs w:val="16"/>
          <w:color w:val="auto"/>
        </w:rPr>
        <w:t>One of NTIC’s important trademarks for its business is the trademark for the color Yellow. NTIC is currently involved in litigation against a competitor over this trademark. NTIC has also in the past successfully prosecuted infringement claims against other competitors and third parties for their use of the color Yellow. If NTIC were to lose any future litigation over this trademark, NTIC could be in a more difficult position to enforce its rights to this trademark in other countries and against other third parties. NTIC believes that the loss of its trademark for the color Yellow could have an adverse affect on NTIC’s business.</w:t>
      </w:r>
    </w:p>
    <w:p>
      <w:pPr>
        <w:spacing w:after="0" w:line="16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with which compliance may require NTIC to incur expenses or modify its products or operations and may expose NTIC to penalties for non-compliance. Governmental regulation may also adversely affect the demand for some of NTIC’s products and its operating results.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its financial condition and operating results. NTIC is also subject to other international, federal and state laws, rules and regulations, the future non-compliance of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intends to grow its business through additional joint ventures, alliances and acquisitions, which could be risky and could harm its business.</w:t>
      </w:r>
    </w:p>
    <w:p>
      <w:pPr>
        <w:spacing w:after="0" w:line="2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97"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157" w:lineRule="exact"/>
        <w:rPr>
          <w:rFonts w:ascii="Arial" w:cs="Arial" w:eastAsia="Arial" w:hAnsi="Arial"/>
          <w:sz w:val="18"/>
          <w:szCs w:val="18"/>
          <w:color w:val="auto"/>
        </w:rPr>
      </w:pPr>
    </w:p>
    <w:p>
      <w:pPr>
        <w:ind w:left="1160" w:right="36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an acquired business or in realizing projected efficiencies, cost savings and revenue synergies;</w:t>
      </w:r>
    </w:p>
    <w:p>
      <w:pPr>
        <w:spacing w:after="0" w:line="118"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adverse impact on overall profitability if acquired businesses do not achieve the financial results projected in NTIC’s valuation models;</w:t>
      </w:r>
    </w:p>
    <w:p>
      <w:pPr>
        <w:spacing w:after="0" w:line="180" w:lineRule="exact"/>
        <w:rPr>
          <w:rFonts w:ascii="Arial" w:cs="Arial" w:eastAsia="Arial" w:hAnsi="Arial"/>
          <w:sz w:val="16"/>
          <w:szCs w:val="16"/>
          <w:color w:val="auto"/>
        </w:rPr>
      </w:pPr>
    </w:p>
    <w:p>
      <w:pPr>
        <w:jc w:val="both"/>
        <w:ind w:left="1160" w:right="20" w:hanging="571"/>
        <w:spacing w:after="0" w:line="259"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acquisition purchase prices, which could in turn restrict our ability to access additional capital when needed or to pursue other important elements of NTIC’s business strategy;</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inaccurate assessment of undisclosed, contingent or other liabilities or problems and unanticipated costs associated with the acquisition; and</w:t>
      </w:r>
    </w:p>
    <w:p>
      <w:pPr>
        <w:spacing w:after="0" w:line="180" w:lineRule="exact"/>
        <w:rPr>
          <w:rFonts w:ascii="Arial" w:cs="Arial" w:eastAsia="Arial" w:hAnsi="Arial"/>
          <w:sz w:val="16"/>
          <w:szCs w:val="16"/>
          <w:color w:val="auto"/>
        </w:rPr>
      </w:pPr>
    </w:p>
    <w:p>
      <w:pPr>
        <w:ind w:left="1160" w:right="10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that could adversely affect NTIC’s operating results.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0" w:right="239" w:bottom="1440" w:gutter="0" w:footer="0" w:header="0"/>
        </w:sectPr>
      </w:pPr>
    </w:p>
    <w:bookmarkStart w:id="25" w:name="page26"/>
    <w:bookmarkEnd w:id="25"/>
    <w:p>
      <w:pPr>
        <w:ind w:right="280"/>
        <w:spacing w:after="0" w:line="268"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relies on its independent distributors, manufacturer’s sales representatives and corporate joint ventures to market and sell its products.</w:t>
      </w: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to its direct sales force, NTIC relies on its independent distributors, manufacturer’s sales representatives and corporate joint ventures to market and sell its products in the United States and internationally. NTIC’s independent distributors, manufacturer’s sales representatives and joint venture partners might terminate their relationship with NTIC, or devote insufficient sales efforts to NTIC’s products. NTIC does not control its independent distributors, manufacturer’s sales representatives and joint ventures and they may not be successful in implementing NTIC’s marketing plans. NTIC’s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NTIC’s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very limited staffing and will continue to be dependent upon key employees.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staff. NTIC’s future success will also depend in large part on its ability to identify, attract and retain other highly qualified managerial, technical, sales and marketing and customer service personnel. Competition for these individuals is intense, especially in the markets in which NTIC operates. NTIC may not succeed in identifying, attracting and retaining these personnel. The current management, other than the President and Chief Executive Officer, do not have any material stock ownership in NTIC or any contractual obligation to maintain employment. The loss or interruption of services of any of NTIC’s key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7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94"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5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8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0" w:right="239" w:bottom="1440" w:gutter="0" w:footer="0" w:header="0"/>
        </w:sectPr>
      </w:pPr>
    </w:p>
    <w:bookmarkStart w:id="26" w:name="page27"/>
    <w:bookmarkEnd w:id="26"/>
    <w:p>
      <w:pPr>
        <w:ind w:right="20"/>
        <w:spacing w:after="0" w:line="254" w:lineRule="auto"/>
        <w:rPr>
          <w:sz w:val="20"/>
          <w:szCs w:val="20"/>
          <w:color w:val="auto"/>
        </w:rPr>
      </w:pPr>
      <w:r>
        <w:rPr>
          <w:rFonts w:ascii="Arial" w:cs="Arial" w:eastAsia="Arial" w:hAnsi="Arial"/>
          <w:sz w:val="18"/>
          <w:szCs w:val="18"/>
          <w:color w:val="auto"/>
        </w:rPr>
        <w:t>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is patents or if it initiates any proceedings to protect its proprietary rights and if the outcome of any such litigation is unfavorable to NTIC, its business and operating results could be materially adversely affected.</w:t>
      </w:r>
    </w:p>
    <w:p>
      <w:pPr>
        <w:spacing w:after="0" w:line="19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3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 funding for new products, NTIC cannot assure you that it will be able to continue to do so in the future. Products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74"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NTIC faces intense competition in all of its product lines, including from competitors that have substantially greater resources than NTIC does. NTIC cannot assure you it will be able to compete effectively, which would harm its business and operating results.</w:t>
      </w:r>
    </w:p>
    <w:p>
      <w:pPr>
        <w:spacing w:after="0" w:line="1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NTIC’s products are sold in highly competitive markets throughout the world. The principal competitive factors in NTIC’s markets are pricing, product innovation, quality and reliability, product support and customer service and reputation. NTIC competes in all of its products with numerous manufacturers, many of who have substantially greater financial, marketing, and other resources than NTIC does. As a result, they may be able to 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NTIC cannot assure you that it will be able to compete effectively, which would harm its business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and future changes in securities laws and regulations have increased and are likely to continue to increase our costs.</w:t>
      </w: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Public Company Accounting Oversight Board (PCAOB) rules and regulations, Securities and Exchange Commission rules and regulations and American Stock Exchange rules, create challenges and compliance requirements for publicly held companies, including NTIC. NTIC’s efforts to comply with evolving laws, rules, regulations and standards have resulted in, and are likely to continue to result in, increased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0" w:right="239" w:bottom="1440" w:gutter="0" w:footer="0" w:header="0"/>
        </w:sectPr>
      </w:pPr>
    </w:p>
    <w:bookmarkStart w:id="27" w:name="page28"/>
    <w:bookmarkEnd w:id="27"/>
    <w:p>
      <w:pPr>
        <w:ind w:right="100"/>
        <w:spacing w:after="0" w:line="256" w:lineRule="auto"/>
        <w:rPr>
          <w:sz w:val="20"/>
          <w:szCs w:val="20"/>
          <w:color w:val="auto"/>
        </w:rPr>
      </w:pPr>
      <w:r>
        <w:rPr>
          <w:rFonts w:ascii="Arial" w:cs="Arial" w:eastAsia="Arial" w:hAnsi="Arial"/>
          <w:sz w:val="18"/>
          <w:szCs w:val="18"/>
          <w:color w:val="auto"/>
        </w:rPr>
        <w:t>general and administrative expenses and a diversion of management time and attention from revenue-generating activities to compliance activities. In particular, NTIC’s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evaluations of internal control over financial reporting required by Section 404 of the Sarbanes-Oxley Act.</w:t>
      </w:r>
    </w:p>
    <w:p>
      <w:pPr>
        <w:spacing w:after="0" w:line="2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and related regulations implemented by the SEC and the American Stock Exchange, are creating uncertainty for public companies, increasing legal and financial compliance costs and making some activities more time consuming. NTIC will be evaluating its internal controls systems to allow management to report on, and its independent registered public accounting firm to attest to, NTIC’s internal control over financial reporting. NTIC will be performing the system and process evaluation and testing (and any necessary remediation) required to comply with the management certification and auditor attestation requirements of Section 404 of the Sarbanes-Oxley Act. NTIC cannot be certain as to the timing of completion of its evaluation, testing and remediation actions or the impact of the same on its operations since there is presently no precedent available by which to measure compliance adequacy. If NTIC is not able to implement the requirements of Section 404 in a timely manner or with adequate compliance, NTIC may be subject to sanctions or investigation by regulatory authorities, including the SEC or the American Stock Exchange. This type of action could adversely affect NTIC’s financial results or investors’ confidence in NTIC, and could cause NTIC’s stock price to decline. In addition, the controls and procedures that NTIC may implement may not comply with all of the relevant rules and regulations of the SEC and the American Stock Exchange. If NTIC fails to develop and maintain effective controls and procedures, it may be unable to provide the required financial information in a timely and reliable manner.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February 28, 2007 that has materially affected, or is reasonably likely to materially affect NTIC’s internal control over financial reporting.</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 description of NTIC’s legal proceedings in the first paragraph under Note 20 of NTIC’s consolidated financial statements included within this report is incorporated herein by reference.</w:t>
      </w:r>
    </w:p>
    <w:p>
      <w:pPr>
        <w:spacing w:after="0" w:line="18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April 2007 REACT-NTI, LLC, a company that is 75% owned by NTIC (“REACT”), was served with a summons and complaint that was filed by Shamrock Technologies, Inc. (“Shamrock”) in state court in New York. This case has been removed to the Federal District Court for the Southern District of New York. The lawsuit seeks payment from REACT of commissions in the approximate amount of $314,500 owed by REACT under a license agreement between REACT and Shamrock. The complaint alleges breach of the license agreement by REACT and seeks damages in an unspecified amount for such breach as well as damages of approximately $300,000 for the alleged failure of REACT to purchase from Shamrock certain inventory manufactured for sale to a customer. REACT, acknowledges that the commissions are owed, but denies all of the claims of breach of the license agreement by it. REACT intends to appropriately defend itself against the allegations of breach and also intends to file counter-claim for a breach of the license agreement by Shamrock and to pursue injunctive relieve against Shamrock to protect its licensed Technology and Confidential Information disclosed to Shamrock under the license agreement.</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February 2007, NTIC was served with a summons and complaint that was originally filed by Evelyna Cantwell and Jack Cantwell, individually and also doing business as Byrd-Walsh International, LLC in the Federal District Court for the Southern District of Florida. The lawsuit alleges breach of contract, breach of implied contract, promissory estoppels, equitable estoppels, negligence, wrongful conversion, fraud, constructive fraud, misappropriation, and violation of the Uniform Trade Secrets Act. The suit seeks total damages in excess of $45 million. Based on the allegations in the complaint and our understanding of relevant facts and circumstances, we believe that the claims made by the Cantwell’s and Byrd-Walsh in this lawsuit are without merit and we intend to vigorously defend against them. The amounts claimed in this lawsuit are substantial, however, and there can be no assurances as to the outcome of this pending action. Likewise, there can be no assurances regarding the impact that this matter may have on our financial results or financial condition.</w:t>
      </w:r>
    </w:p>
    <w:p>
      <w:pPr>
        <w:spacing w:after="0" w:line="166"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ITEM 2. UNREGISTERED SALES OF EQUITY SECURITIES, USE OF PROCEEDS AND SMALL BUSINESS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three months ended February 28, 2007, NTIC did not issue any shares of its common stock or other equity securities of NTIC that were not registered under the Securities Act of 1933.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Issuer Purchases of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February 28, 2007, NTIC did not purchase any shares of its common stock or other equity securities of NTIC.</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repurchased and retired an aggregate of 44,200 shares of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SUBMISSION OF MATTERS TO A VOTE OF SECURITY HOLDERS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Annual Meeting of Stockholders of the Company (Annual Meeting) was held on January 23, 2007. The election of directors was voted on and approved by the Company’s stockholders at the Annual Meeting. There were 3,655,520 shares of common stock entitled to vote at the meeting and a total of 3,322,866 shares or 90.89% were represented at the meeting.</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584"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tabulation of votes is set forth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ind w:left="660"/>
              <w:spacing w:after="0"/>
              <w:rPr>
                <w:sz w:val="20"/>
                <w:szCs w:val="20"/>
                <w:color w:val="auto"/>
              </w:rPr>
            </w:pPr>
            <w:r>
              <w:rPr>
                <w:rFonts w:ascii="Arial" w:cs="Arial" w:eastAsia="Arial" w:hAnsi="Arial"/>
                <w:sz w:val="14"/>
                <w:szCs w:val="14"/>
                <w:b w:val="1"/>
                <w:bCs w:val="1"/>
                <w:color w:val="auto"/>
              </w:rPr>
              <w:t>FOR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 VOTED FOR</w:t>
            </w:r>
          </w:p>
        </w:tc>
        <w:tc>
          <w:tcPr>
            <w:tcW w:w="1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WITHHELD</w:t>
            </w:r>
          </w:p>
        </w:tc>
        <w:tc>
          <w:tcPr>
            <w:tcW w:w="200" w:type="dxa"/>
            <w:vAlign w:val="bottom"/>
          </w:tcPr>
          <w:p>
            <w:pPr>
              <w:spacing w:after="0"/>
              <w:rPr>
                <w:sz w:val="15"/>
                <w:szCs w:val="15"/>
                <w:color w:val="auto"/>
              </w:rPr>
            </w:pPr>
          </w:p>
        </w:tc>
        <w:tc>
          <w:tcPr>
            <w:tcW w:w="2280" w:type="dxa"/>
            <w:vAlign w:val="bottom"/>
          </w:tcPr>
          <w:p>
            <w:pPr>
              <w:ind w:left="420"/>
              <w:spacing w:after="0"/>
              <w:rPr>
                <w:sz w:val="20"/>
                <w:szCs w:val="20"/>
                <w:color w:val="auto"/>
              </w:rPr>
            </w:pPr>
            <w:r>
              <w:rPr>
                <w:rFonts w:ascii="Arial" w:cs="Arial" w:eastAsia="Arial" w:hAnsi="Arial"/>
                <w:sz w:val="14"/>
                <w:szCs w:val="14"/>
                <w:b w:val="1"/>
                <w:bCs w:val="1"/>
                <w:color w:val="auto"/>
              </w:rPr>
              <w:t>% VOTED WITHHELD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CHENU</w:t>
            </w:r>
          </w:p>
        </w:tc>
        <w:tc>
          <w:tcPr>
            <w:tcW w:w="196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7"/>
              </w:rPr>
              <w:t>3,303,078</w:t>
            </w:r>
          </w:p>
        </w:tc>
        <w:tc>
          <w:tcPr>
            <w:tcW w:w="192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8"/>
              </w:rPr>
              <w:t>99.40%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19,788</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6"/>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 PATRICK LYNCH</w:t>
            </w:r>
          </w:p>
        </w:tc>
        <w:tc>
          <w:tcPr>
            <w:tcW w:w="1960" w:type="dxa"/>
            <w:vAlign w:val="bottom"/>
            <w:gridSpan w:val="4"/>
          </w:tcPr>
          <w:p>
            <w:pPr>
              <w:jc w:val="center"/>
              <w:ind w:left="92"/>
              <w:spacing w:after="0"/>
              <w:rPr>
                <w:sz w:val="20"/>
                <w:szCs w:val="20"/>
                <w:color w:val="auto"/>
              </w:rPr>
            </w:pPr>
            <w:r>
              <w:rPr>
                <w:rFonts w:ascii="Arial" w:cs="Arial" w:eastAsia="Arial" w:hAnsi="Arial"/>
                <w:sz w:val="18"/>
                <w:szCs w:val="18"/>
                <w:color w:val="auto"/>
                <w:w w:val="87"/>
              </w:rPr>
              <w:t>2,750,993</w:t>
            </w:r>
          </w:p>
        </w:tc>
        <w:tc>
          <w:tcPr>
            <w:tcW w:w="1920" w:type="dxa"/>
            <w:vAlign w:val="bottom"/>
            <w:gridSpan w:val="4"/>
          </w:tcPr>
          <w:p>
            <w:pPr>
              <w:jc w:val="center"/>
              <w:ind w:left="92"/>
              <w:spacing w:after="0"/>
              <w:rPr>
                <w:sz w:val="20"/>
                <w:szCs w:val="20"/>
                <w:color w:val="auto"/>
              </w:rPr>
            </w:pPr>
            <w:r>
              <w:rPr>
                <w:rFonts w:ascii="Arial" w:cs="Arial" w:eastAsia="Arial" w:hAnsi="Arial"/>
                <w:sz w:val="18"/>
                <w:szCs w:val="18"/>
                <w:color w:val="auto"/>
                <w:w w:val="88"/>
              </w:rPr>
              <w:t>82.79%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571,873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DONALD A. KUBIK</w:t>
            </w:r>
          </w:p>
        </w:tc>
        <w:tc>
          <w:tcPr>
            <w:tcW w:w="196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7"/>
              </w:rPr>
              <w:t>2,753,353</w:t>
            </w:r>
          </w:p>
        </w:tc>
        <w:tc>
          <w:tcPr>
            <w:tcW w:w="192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8"/>
              </w:rPr>
              <w:t>82.86%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569,513</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MARK J. STONE</w:t>
            </w:r>
          </w:p>
        </w:tc>
        <w:tc>
          <w:tcPr>
            <w:tcW w:w="1960" w:type="dxa"/>
            <w:vAlign w:val="bottom"/>
            <w:gridSpan w:val="4"/>
          </w:tcPr>
          <w:p>
            <w:pPr>
              <w:jc w:val="center"/>
              <w:ind w:left="92"/>
              <w:spacing w:after="0"/>
              <w:rPr>
                <w:sz w:val="20"/>
                <w:szCs w:val="20"/>
                <w:color w:val="auto"/>
              </w:rPr>
            </w:pPr>
            <w:r>
              <w:rPr>
                <w:rFonts w:ascii="Arial" w:cs="Arial" w:eastAsia="Arial" w:hAnsi="Arial"/>
                <w:sz w:val="18"/>
                <w:szCs w:val="18"/>
                <w:color w:val="auto"/>
                <w:w w:val="87"/>
              </w:rPr>
              <w:t>3,301,890</w:t>
            </w:r>
          </w:p>
        </w:tc>
        <w:tc>
          <w:tcPr>
            <w:tcW w:w="1920" w:type="dxa"/>
            <w:vAlign w:val="bottom"/>
            <w:gridSpan w:val="4"/>
          </w:tcPr>
          <w:p>
            <w:pPr>
              <w:jc w:val="center"/>
              <w:ind w:left="92"/>
              <w:spacing w:after="0"/>
              <w:rPr>
                <w:sz w:val="20"/>
                <w:szCs w:val="20"/>
                <w:color w:val="auto"/>
              </w:rPr>
            </w:pPr>
            <w:r>
              <w:rPr>
                <w:rFonts w:ascii="Arial" w:cs="Arial" w:eastAsia="Arial" w:hAnsi="Arial"/>
                <w:sz w:val="18"/>
                <w:szCs w:val="18"/>
                <w:color w:val="auto"/>
                <w:w w:val="88"/>
              </w:rPr>
              <w:t>99.37%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20,976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SUNGGYU LEE</w:t>
            </w:r>
          </w:p>
        </w:tc>
        <w:tc>
          <w:tcPr>
            <w:tcW w:w="196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7"/>
              </w:rPr>
              <w:t>2,748,153</w:t>
            </w:r>
          </w:p>
        </w:tc>
        <w:tc>
          <w:tcPr>
            <w:tcW w:w="192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8"/>
              </w:rPr>
              <w:t>82.70%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574,713</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DR. RAMANI NARAYAN</w:t>
            </w:r>
          </w:p>
        </w:tc>
        <w:tc>
          <w:tcPr>
            <w:tcW w:w="1960" w:type="dxa"/>
            <w:vAlign w:val="bottom"/>
            <w:gridSpan w:val="4"/>
          </w:tcPr>
          <w:p>
            <w:pPr>
              <w:jc w:val="center"/>
              <w:ind w:left="92"/>
              <w:spacing w:after="0"/>
              <w:rPr>
                <w:sz w:val="20"/>
                <w:szCs w:val="20"/>
                <w:color w:val="auto"/>
              </w:rPr>
            </w:pPr>
            <w:r>
              <w:rPr>
                <w:rFonts w:ascii="Arial" w:cs="Arial" w:eastAsia="Arial" w:hAnsi="Arial"/>
                <w:sz w:val="18"/>
                <w:szCs w:val="18"/>
                <w:color w:val="auto"/>
                <w:w w:val="87"/>
              </w:rPr>
              <w:t>2,747,953</w:t>
            </w:r>
          </w:p>
        </w:tc>
        <w:tc>
          <w:tcPr>
            <w:tcW w:w="1920" w:type="dxa"/>
            <w:vAlign w:val="bottom"/>
            <w:gridSpan w:val="4"/>
          </w:tcPr>
          <w:p>
            <w:pPr>
              <w:jc w:val="center"/>
              <w:ind w:left="92"/>
              <w:spacing w:after="0"/>
              <w:rPr>
                <w:sz w:val="20"/>
                <w:szCs w:val="20"/>
                <w:color w:val="auto"/>
              </w:rPr>
            </w:pPr>
            <w:r>
              <w:rPr>
                <w:rFonts w:ascii="Arial" w:cs="Arial" w:eastAsia="Arial" w:hAnsi="Arial"/>
                <w:sz w:val="18"/>
                <w:szCs w:val="18"/>
                <w:color w:val="auto"/>
                <w:w w:val="88"/>
              </w:rPr>
              <w:t>82.70%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574,913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 MAYERS</w:t>
            </w:r>
          </w:p>
        </w:tc>
        <w:tc>
          <w:tcPr>
            <w:tcW w:w="196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7"/>
              </w:rPr>
              <w:t>3,304,078</w:t>
            </w:r>
          </w:p>
        </w:tc>
        <w:tc>
          <w:tcPr>
            <w:tcW w:w="192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8"/>
              </w:rPr>
              <w:t>99.43%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18,788</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6"/>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BARRY ROSENBAUM</w:t>
            </w:r>
          </w:p>
        </w:tc>
        <w:tc>
          <w:tcPr>
            <w:tcW w:w="1960" w:type="dxa"/>
            <w:vAlign w:val="bottom"/>
            <w:gridSpan w:val="4"/>
          </w:tcPr>
          <w:p>
            <w:pPr>
              <w:jc w:val="center"/>
              <w:ind w:left="92"/>
              <w:spacing w:after="0"/>
              <w:rPr>
                <w:sz w:val="20"/>
                <w:szCs w:val="20"/>
                <w:color w:val="auto"/>
              </w:rPr>
            </w:pPr>
            <w:r>
              <w:rPr>
                <w:rFonts w:ascii="Arial" w:cs="Arial" w:eastAsia="Arial" w:hAnsi="Arial"/>
                <w:sz w:val="18"/>
                <w:szCs w:val="18"/>
                <w:color w:val="auto"/>
                <w:w w:val="87"/>
              </w:rPr>
              <w:t>3,303,497</w:t>
            </w:r>
          </w:p>
        </w:tc>
        <w:tc>
          <w:tcPr>
            <w:tcW w:w="1920" w:type="dxa"/>
            <w:vAlign w:val="bottom"/>
            <w:gridSpan w:val="4"/>
          </w:tcPr>
          <w:p>
            <w:pPr>
              <w:jc w:val="center"/>
              <w:ind w:left="92"/>
              <w:spacing w:after="0"/>
              <w:rPr>
                <w:sz w:val="20"/>
                <w:szCs w:val="20"/>
                <w:color w:val="auto"/>
              </w:rPr>
            </w:pPr>
            <w:r>
              <w:rPr>
                <w:rFonts w:ascii="Arial" w:cs="Arial" w:eastAsia="Arial" w:hAnsi="Arial"/>
                <w:sz w:val="18"/>
                <w:szCs w:val="18"/>
                <w:color w:val="auto"/>
                <w:w w:val="88"/>
              </w:rPr>
              <w:t>99.42%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19,369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ALL DIRECTORS</w:t>
            </w:r>
          </w:p>
        </w:tc>
        <w:tc>
          <w:tcPr>
            <w:tcW w:w="196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6"/>
              </w:rPr>
              <w:t>24,212,995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2,369,936</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DIRECTOR AVERAGE</w:t>
            </w:r>
          </w:p>
        </w:tc>
        <w:tc>
          <w:tcPr>
            <w:tcW w:w="1960" w:type="dxa"/>
            <w:vAlign w:val="bottom"/>
            <w:gridSpan w:val="4"/>
          </w:tcPr>
          <w:p>
            <w:pPr>
              <w:jc w:val="center"/>
              <w:ind w:left="92"/>
              <w:spacing w:after="0"/>
              <w:rPr>
                <w:sz w:val="20"/>
                <w:szCs w:val="20"/>
                <w:color w:val="auto"/>
              </w:rPr>
            </w:pPr>
            <w:r>
              <w:rPr>
                <w:rFonts w:ascii="Arial" w:cs="Arial" w:eastAsia="Arial" w:hAnsi="Arial"/>
                <w:sz w:val="18"/>
                <w:szCs w:val="18"/>
                <w:color w:val="auto"/>
                <w:w w:val="87"/>
              </w:rPr>
              <w:t>3,026,624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296,242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VOTED OF AVERAGE</w:t>
            </w:r>
          </w:p>
        </w:tc>
        <w:tc>
          <w:tcPr>
            <w:tcW w:w="196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8"/>
              </w:rPr>
              <w:t>91.08%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8.92%</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080" w:type="dxa"/>
            <w:vAlign w:val="bottom"/>
            <w:gridSpan w:val="7"/>
          </w:tcPr>
          <w:p>
            <w:pPr>
              <w:spacing w:after="0"/>
              <w:rPr>
                <w:sz w:val="20"/>
                <w:szCs w:val="20"/>
                <w:color w:val="auto"/>
              </w:rPr>
            </w:pPr>
            <w:r>
              <w:rPr>
                <w:rFonts w:ascii="Arial" w:cs="Arial" w:eastAsia="Arial" w:hAnsi="Arial"/>
                <w:sz w:val="18"/>
                <w:szCs w:val="18"/>
                <w:b w:val="1"/>
                <w:bCs w:val="1"/>
                <w:color w:val="auto"/>
              </w:rPr>
              <w:t>APPROVE THE 2007 STOCK INCENTIVE PLAN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ind w:left="740"/>
              <w:spacing w:after="0"/>
              <w:rPr>
                <w:sz w:val="20"/>
                <w:szCs w:val="20"/>
                <w:color w:val="auto"/>
              </w:rPr>
            </w:pPr>
            <w:r>
              <w:rPr>
                <w:rFonts w:ascii="Arial" w:cs="Arial" w:eastAsia="Arial" w:hAnsi="Arial"/>
                <w:sz w:val="14"/>
                <w:szCs w:val="14"/>
                <w:b w:val="1"/>
                <w:bCs w:val="1"/>
                <w:color w:val="auto"/>
              </w:rPr>
              <w:t>FOR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8"/>
              </w:rPr>
              <w:t>AGAINST</w:t>
            </w:r>
          </w:p>
        </w:tc>
        <w:tc>
          <w:tcPr>
            <w:tcW w:w="1720" w:type="dxa"/>
            <w:vAlign w:val="bottom"/>
            <w:gridSpan w:val="3"/>
          </w:tcPr>
          <w:p>
            <w:pPr>
              <w:ind w:left="440"/>
              <w:spacing w:after="0"/>
              <w:rPr>
                <w:sz w:val="20"/>
                <w:szCs w:val="20"/>
                <w:color w:val="auto"/>
              </w:rPr>
            </w:pPr>
            <w:r>
              <w:rPr>
                <w:rFonts w:ascii="Arial" w:cs="Arial" w:eastAsia="Arial" w:hAnsi="Arial"/>
                <w:sz w:val="14"/>
                <w:szCs w:val="14"/>
                <w:b w:val="1"/>
                <w:bCs w:val="1"/>
                <w:color w:val="auto"/>
              </w:rPr>
              <w:t>ABSTAIN</w:t>
            </w: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120" w:type="dxa"/>
            <w:vAlign w:val="bottom"/>
            <w:tcBorders>
              <w:bottom w:val="single" w:sz="8" w:color="auto"/>
            </w:tcBorders>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gridSpan w:val="2"/>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gridSpan w:val="2"/>
          </w:tcPr>
          <w:p>
            <w:pPr>
              <w:spacing w:after="0"/>
              <w:rPr>
                <w:sz w:val="8"/>
                <w:szCs w:val="8"/>
                <w:color w:val="auto"/>
              </w:rPr>
            </w:pPr>
          </w:p>
        </w:tc>
        <w:tc>
          <w:tcPr>
            <w:tcW w:w="1960" w:type="dxa"/>
            <w:vAlign w:val="bottom"/>
            <w:gridSpan w:val="4"/>
          </w:tcPr>
          <w:p>
            <w:pPr>
              <w:spacing w:after="0"/>
              <w:rPr>
                <w:sz w:val="8"/>
                <w:szCs w:val="8"/>
                <w:color w:val="auto"/>
              </w:rPr>
            </w:pPr>
          </w:p>
        </w:tc>
        <w:tc>
          <w:tcPr>
            <w:tcW w:w="19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SHARES VOTED</w:t>
            </w:r>
          </w:p>
        </w:tc>
        <w:tc>
          <w:tcPr>
            <w:tcW w:w="1960" w:type="dxa"/>
            <w:vAlign w:val="bottom"/>
            <w:gridSpan w:val="4"/>
            <w:shd w:val="clear" w:color="auto" w:fill="CCEEFF"/>
          </w:tcPr>
          <w:p>
            <w:pPr>
              <w:jc w:val="center"/>
              <w:ind w:left="212"/>
              <w:spacing w:after="0"/>
              <w:rPr>
                <w:sz w:val="20"/>
                <w:szCs w:val="20"/>
                <w:color w:val="auto"/>
              </w:rPr>
            </w:pPr>
            <w:r>
              <w:rPr>
                <w:rFonts w:ascii="Arial" w:cs="Arial" w:eastAsia="Arial" w:hAnsi="Arial"/>
                <w:sz w:val="18"/>
                <w:szCs w:val="18"/>
                <w:color w:val="auto"/>
                <w:w w:val="87"/>
              </w:rPr>
              <w:t>2,136,431</w:t>
            </w:r>
          </w:p>
        </w:tc>
        <w:tc>
          <w:tcPr>
            <w:tcW w:w="1920" w:type="dxa"/>
            <w:vAlign w:val="bottom"/>
            <w:gridSpan w:val="4"/>
            <w:shd w:val="clear" w:color="auto" w:fill="CCEEFF"/>
          </w:tcPr>
          <w:p>
            <w:pPr>
              <w:jc w:val="center"/>
              <w:ind w:left="32"/>
              <w:spacing w:after="0"/>
              <w:rPr>
                <w:sz w:val="20"/>
                <w:szCs w:val="20"/>
                <w:color w:val="auto"/>
              </w:rPr>
            </w:pPr>
            <w:r>
              <w:rPr>
                <w:rFonts w:ascii="Arial" w:cs="Arial" w:eastAsia="Arial" w:hAnsi="Arial"/>
                <w:sz w:val="18"/>
                <w:szCs w:val="18"/>
                <w:color w:val="auto"/>
                <w:w w:val="86"/>
              </w:rPr>
              <w:t>117,600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87"/>
              </w:rPr>
              <w:t>37,322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1"/>
              </w:rPr>
              <w:t>% OF VOTED</w:t>
            </w:r>
          </w:p>
        </w:tc>
        <w:tc>
          <w:tcPr>
            <w:tcW w:w="2040" w:type="dxa"/>
            <w:vAlign w:val="bottom"/>
          </w:tcPr>
          <w:p>
            <w:pPr>
              <w:spacing w:after="0"/>
              <w:rPr>
                <w:sz w:val="18"/>
                <w:szCs w:val="18"/>
                <w:color w:val="auto"/>
              </w:rPr>
            </w:pPr>
          </w:p>
        </w:tc>
        <w:tc>
          <w:tcPr>
            <w:tcW w:w="1960" w:type="dxa"/>
            <w:vAlign w:val="bottom"/>
            <w:gridSpan w:val="4"/>
          </w:tcPr>
          <w:p>
            <w:pPr>
              <w:jc w:val="center"/>
              <w:ind w:left="212"/>
              <w:spacing w:after="0"/>
              <w:rPr>
                <w:sz w:val="20"/>
                <w:szCs w:val="20"/>
                <w:color w:val="auto"/>
              </w:rPr>
            </w:pPr>
            <w:r>
              <w:rPr>
                <w:rFonts w:ascii="Arial" w:cs="Arial" w:eastAsia="Arial" w:hAnsi="Arial"/>
                <w:sz w:val="18"/>
                <w:szCs w:val="18"/>
                <w:color w:val="auto"/>
                <w:w w:val="88"/>
              </w:rPr>
              <w:t>93.24%</w:t>
            </w:r>
          </w:p>
        </w:tc>
        <w:tc>
          <w:tcPr>
            <w:tcW w:w="1920" w:type="dxa"/>
            <w:vAlign w:val="bottom"/>
            <w:gridSpan w:val="4"/>
          </w:tcPr>
          <w:p>
            <w:pPr>
              <w:jc w:val="center"/>
              <w:ind w:left="52"/>
              <w:spacing w:after="0"/>
              <w:rPr>
                <w:sz w:val="20"/>
                <w:szCs w:val="20"/>
                <w:color w:val="auto"/>
              </w:rPr>
            </w:pPr>
            <w:r>
              <w:rPr>
                <w:rFonts w:ascii="Arial" w:cs="Arial" w:eastAsia="Arial" w:hAnsi="Arial"/>
                <w:sz w:val="18"/>
                <w:szCs w:val="18"/>
                <w:color w:val="auto"/>
                <w:w w:val="90"/>
              </w:rPr>
              <w:t>5.13%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6"/>
              <w:spacing w:after="0"/>
              <w:rPr>
                <w:sz w:val="20"/>
                <w:szCs w:val="20"/>
                <w:color w:val="auto"/>
              </w:rPr>
            </w:pPr>
            <w:r>
              <w:rPr>
                <w:rFonts w:ascii="Arial" w:cs="Arial" w:eastAsia="Arial" w:hAnsi="Arial"/>
                <w:sz w:val="18"/>
                <w:szCs w:val="18"/>
                <w:color w:val="auto"/>
                <w:w w:val="86"/>
              </w:rPr>
              <w:t>1.63%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OF OUTSTANDING</w:t>
            </w:r>
          </w:p>
        </w:tc>
        <w:tc>
          <w:tcPr>
            <w:tcW w:w="1960" w:type="dxa"/>
            <w:vAlign w:val="bottom"/>
            <w:gridSpan w:val="4"/>
            <w:shd w:val="clear" w:color="auto" w:fill="CCEEFF"/>
          </w:tcPr>
          <w:p>
            <w:pPr>
              <w:jc w:val="center"/>
              <w:ind w:left="212"/>
              <w:spacing w:after="0"/>
              <w:rPr>
                <w:sz w:val="20"/>
                <w:szCs w:val="20"/>
                <w:color w:val="auto"/>
              </w:rPr>
            </w:pPr>
            <w:r>
              <w:rPr>
                <w:rFonts w:ascii="Arial" w:cs="Arial" w:eastAsia="Arial" w:hAnsi="Arial"/>
                <w:sz w:val="18"/>
                <w:szCs w:val="18"/>
                <w:color w:val="auto"/>
                <w:w w:val="88"/>
              </w:rPr>
              <w:t>58.44%</w:t>
            </w:r>
          </w:p>
        </w:tc>
        <w:tc>
          <w:tcPr>
            <w:tcW w:w="192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90"/>
              </w:rPr>
              <w:t>3.22%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86"/>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080" w:type="dxa"/>
            <w:vAlign w:val="bottom"/>
            <w:gridSpan w:val="7"/>
          </w:tcPr>
          <w:p>
            <w:pPr>
              <w:spacing w:after="0"/>
              <w:rPr>
                <w:sz w:val="20"/>
                <w:szCs w:val="20"/>
                <w:color w:val="auto"/>
              </w:rPr>
            </w:pPr>
            <w:r>
              <w:rPr>
                <w:rFonts w:ascii="Arial" w:cs="Arial" w:eastAsia="Arial" w:hAnsi="Arial"/>
                <w:sz w:val="18"/>
                <w:szCs w:val="18"/>
                <w:b w:val="1"/>
                <w:bCs w:val="1"/>
                <w:color w:val="auto"/>
              </w:rPr>
              <w:t>APPROVE THE EMPLOYEE STOCK PURCHASE PLAN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ind w:left="660"/>
              <w:spacing w:after="0"/>
              <w:rPr>
                <w:sz w:val="20"/>
                <w:szCs w:val="20"/>
                <w:color w:val="auto"/>
              </w:rPr>
            </w:pPr>
            <w:r>
              <w:rPr>
                <w:rFonts w:ascii="Arial" w:cs="Arial" w:eastAsia="Arial" w:hAnsi="Arial"/>
                <w:sz w:val="14"/>
                <w:szCs w:val="14"/>
                <w:b w:val="1"/>
                <w:bCs w:val="1"/>
                <w:color w:val="auto"/>
              </w:rPr>
              <w:t>FOR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8"/>
              </w:rPr>
              <w:t>AGAINST</w:t>
            </w:r>
          </w:p>
        </w:tc>
        <w:tc>
          <w:tcPr>
            <w:tcW w:w="1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ABSTAIN</w:t>
            </w: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120" w:type="dxa"/>
            <w:vAlign w:val="bottom"/>
            <w:tcBorders>
              <w:bottom w:val="single" w:sz="8" w:color="auto"/>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1740" w:type="dxa"/>
            <w:vAlign w:val="bottom"/>
            <w:tcBorders>
              <w:bottom w:val="single" w:sz="8" w:color="auto"/>
            </w:tcBorders>
            <w:gridSpan w:val="2"/>
          </w:tcPr>
          <w:p>
            <w:pPr>
              <w:spacing w:after="0"/>
              <w:rPr>
                <w:sz w:val="8"/>
                <w:szCs w:val="8"/>
                <w:color w:val="auto"/>
              </w:rPr>
            </w:pPr>
          </w:p>
        </w:tc>
        <w:tc>
          <w:tcPr>
            <w:tcW w:w="200" w:type="dxa"/>
            <w:vAlign w:val="bottom"/>
            <w:gridSpan w:val="3"/>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gridSpan w:val="2"/>
          </w:tcPr>
          <w:p>
            <w:pPr>
              <w:spacing w:after="0"/>
              <w:rPr>
                <w:sz w:val="8"/>
                <w:szCs w:val="8"/>
                <w:color w:val="auto"/>
              </w:rPr>
            </w:pPr>
          </w:p>
        </w:tc>
        <w:tc>
          <w:tcPr>
            <w:tcW w:w="1960" w:type="dxa"/>
            <w:vAlign w:val="bottom"/>
            <w:gridSpan w:val="4"/>
          </w:tcPr>
          <w:p>
            <w:pPr>
              <w:spacing w:after="0"/>
              <w:rPr>
                <w:sz w:val="8"/>
                <w:szCs w:val="8"/>
                <w:color w:val="auto"/>
              </w:rPr>
            </w:pPr>
          </w:p>
        </w:tc>
        <w:tc>
          <w:tcPr>
            <w:tcW w:w="19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SHARES VOTED</w:t>
            </w:r>
          </w:p>
        </w:tc>
        <w:tc>
          <w:tcPr>
            <w:tcW w:w="196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7"/>
              </w:rPr>
              <w:t>2,186,519</w:t>
            </w:r>
          </w:p>
        </w:tc>
        <w:tc>
          <w:tcPr>
            <w:tcW w:w="1920" w:type="dxa"/>
            <w:vAlign w:val="bottom"/>
            <w:gridSpan w:val="4"/>
            <w:shd w:val="clear" w:color="auto" w:fill="CCEEFF"/>
          </w:tcPr>
          <w:p>
            <w:pPr>
              <w:jc w:val="center"/>
              <w:ind w:left="112"/>
              <w:spacing w:after="0"/>
              <w:rPr>
                <w:sz w:val="20"/>
                <w:szCs w:val="20"/>
                <w:color w:val="auto"/>
              </w:rPr>
            </w:pPr>
            <w:r>
              <w:rPr>
                <w:rFonts w:ascii="Arial" w:cs="Arial" w:eastAsia="Arial" w:hAnsi="Arial"/>
                <w:sz w:val="18"/>
                <w:szCs w:val="18"/>
                <w:color w:val="auto"/>
                <w:w w:val="87"/>
              </w:rPr>
              <w:t>81,070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23,763</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1"/>
              </w:rPr>
              <w:t>% OF VOTED</w:t>
            </w:r>
          </w:p>
        </w:tc>
        <w:tc>
          <w:tcPr>
            <w:tcW w:w="2040" w:type="dxa"/>
            <w:vAlign w:val="bottom"/>
          </w:tcPr>
          <w:p>
            <w:pPr>
              <w:spacing w:after="0"/>
              <w:rPr>
                <w:sz w:val="18"/>
                <w:szCs w:val="18"/>
                <w:color w:val="auto"/>
              </w:rPr>
            </w:pPr>
          </w:p>
        </w:tc>
        <w:tc>
          <w:tcPr>
            <w:tcW w:w="1960" w:type="dxa"/>
            <w:vAlign w:val="bottom"/>
            <w:gridSpan w:val="4"/>
          </w:tcPr>
          <w:p>
            <w:pPr>
              <w:jc w:val="center"/>
              <w:ind w:left="92"/>
              <w:spacing w:after="0"/>
              <w:rPr>
                <w:sz w:val="20"/>
                <w:szCs w:val="20"/>
                <w:color w:val="auto"/>
              </w:rPr>
            </w:pPr>
            <w:r>
              <w:rPr>
                <w:rFonts w:ascii="Arial" w:cs="Arial" w:eastAsia="Arial" w:hAnsi="Arial"/>
                <w:sz w:val="18"/>
                <w:szCs w:val="18"/>
                <w:color w:val="auto"/>
                <w:w w:val="88"/>
              </w:rPr>
              <w:t>95.42%</w:t>
            </w:r>
          </w:p>
        </w:tc>
        <w:tc>
          <w:tcPr>
            <w:tcW w:w="1920" w:type="dxa"/>
            <w:vAlign w:val="bottom"/>
            <w:gridSpan w:val="4"/>
          </w:tcPr>
          <w:p>
            <w:pPr>
              <w:jc w:val="center"/>
              <w:ind w:left="92"/>
              <w:spacing w:after="0"/>
              <w:rPr>
                <w:sz w:val="20"/>
                <w:szCs w:val="20"/>
                <w:color w:val="auto"/>
              </w:rPr>
            </w:pPr>
            <w:r>
              <w:rPr>
                <w:rFonts w:ascii="Arial" w:cs="Arial" w:eastAsia="Arial" w:hAnsi="Arial"/>
                <w:sz w:val="18"/>
                <w:szCs w:val="18"/>
                <w:color w:val="auto"/>
                <w:w w:val="90"/>
              </w:rPr>
              <w:t>3.54%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OF OUTSTANDING</w:t>
            </w:r>
          </w:p>
        </w:tc>
        <w:tc>
          <w:tcPr>
            <w:tcW w:w="196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8"/>
              </w:rPr>
              <w:t>59.81%</w:t>
            </w:r>
          </w:p>
        </w:tc>
        <w:tc>
          <w:tcPr>
            <w:tcW w:w="192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90"/>
              </w:rPr>
              <w:t>2.22%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220" w:type="dxa"/>
            <w:vAlign w:val="bottom"/>
            <w:gridSpan w:val="14"/>
          </w:tcPr>
          <w:p>
            <w:pPr>
              <w:spacing w:after="0"/>
              <w:rPr>
                <w:sz w:val="20"/>
                <w:szCs w:val="20"/>
                <w:color w:val="auto"/>
              </w:rPr>
            </w:pPr>
            <w:r>
              <w:rPr>
                <w:rFonts w:ascii="Arial" w:cs="Arial" w:eastAsia="Arial" w:hAnsi="Arial"/>
                <w:sz w:val="18"/>
                <w:szCs w:val="18"/>
                <w:b w:val="1"/>
                <w:bCs w:val="1"/>
                <w:color w:val="auto"/>
                <w:w w:val="99"/>
              </w:rPr>
              <w:t>APPROVE VIRCHOW KRAUSE &amp; COMPANY LLP/IND. REG. PUBLIC ACCOUNTANTS</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ind w:left="660"/>
              <w:spacing w:after="0"/>
              <w:rPr>
                <w:sz w:val="20"/>
                <w:szCs w:val="20"/>
                <w:color w:val="auto"/>
              </w:rPr>
            </w:pPr>
            <w:r>
              <w:rPr>
                <w:rFonts w:ascii="Arial" w:cs="Arial" w:eastAsia="Arial" w:hAnsi="Arial"/>
                <w:sz w:val="14"/>
                <w:szCs w:val="14"/>
                <w:b w:val="1"/>
                <w:bCs w:val="1"/>
                <w:color w:val="auto"/>
              </w:rPr>
              <w:t>FOR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8"/>
              </w:rPr>
              <w:t>AGAINST</w:t>
            </w:r>
          </w:p>
        </w:tc>
        <w:tc>
          <w:tcPr>
            <w:tcW w:w="1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ABSTAIN</w:t>
            </w: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120" w:type="dxa"/>
            <w:vAlign w:val="bottom"/>
            <w:tcBorders>
              <w:bottom w:val="single" w:sz="8" w:color="auto"/>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1740" w:type="dxa"/>
            <w:vAlign w:val="bottom"/>
            <w:tcBorders>
              <w:bottom w:val="single" w:sz="8" w:color="auto"/>
            </w:tcBorders>
            <w:gridSpan w:val="2"/>
          </w:tcPr>
          <w:p>
            <w:pPr>
              <w:spacing w:after="0"/>
              <w:rPr>
                <w:sz w:val="8"/>
                <w:szCs w:val="8"/>
                <w:color w:val="auto"/>
              </w:rPr>
            </w:pPr>
          </w:p>
        </w:tc>
        <w:tc>
          <w:tcPr>
            <w:tcW w:w="200" w:type="dxa"/>
            <w:vAlign w:val="bottom"/>
            <w:gridSpan w:val="3"/>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gridSpan w:val="2"/>
          </w:tcPr>
          <w:p>
            <w:pPr>
              <w:spacing w:after="0"/>
              <w:rPr>
                <w:sz w:val="8"/>
                <w:szCs w:val="8"/>
                <w:color w:val="auto"/>
              </w:rPr>
            </w:pPr>
          </w:p>
        </w:tc>
        <w:tc>
          <w:tcPr>
            <w:tcW w:w="1960" w:type="dxa"/>
            <w:vAlign w:val="bottom"/>
            <w:gridSpan w:val="4"/>
          </w:tcPr>
          <w:p>
            <w:pPr>
              <w:spacing w:after="0"/>
              <w:rPr>
                <w:sz w:val="8"/>
                <w:szCs w:val="8"/>
                <w:color w:val="auto"/>
              </w:rPr>
            </w:pPr>
          </w:p>
        </w:tc>
        <w:tc>
          <w:tcPr>
            <w:tcW w:w="19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SHARES VOTED</w:t>
            </w:r>
          </w:p>
        </w:tc>
        <w:tc>
          <w:tcPr>
            <w:tcW w:w="196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7"/>
              </w:rPr>
              <w:t>3,305,168</w:t>
            </w:r>
          </w:p>
        </w:tc>
        <w:tc>
          <w:tcPr>
            <w:tcW w:w="1920" w:type="dxa"/>
            <w:vAlign w:val="bottom"/>
            <w:gridSpan w:val="4"/>
            <w:shd w:val="clear" w:color="auto" w:fill="CCEEFF"/>
          </w:tcPr>
          <w:p>
            <w:pPr>
              <w:jc w:val="center"/>
              <w:ind w:left="112"/>
              <w:spacing w:after="0"/>
              <w:rPr>
                <w:sz w:val="20"/>
                <w:szCs w:val="20"/>
                <w:color w:val="auto"/>
              </w:rPr>
            </w:pPr>
            <w:r>
              <w:rPr>
                <w:rFonts w:ascii="Arial" w:cs="Arial" w:eastAsia="Arial" w:hAnsi="Arial"/>
                <w:sz w:val="18"/>
                <w:szCs w:val="18"/>
                <w:color w:val="auto"/>
                <w:w w:val="88"/>
              </w:rPr>
              <w:t>2,700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14,998</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1"/>
              </w:rPr>
              <w:t>% OF VOTED</w:t>
            </w:r>
          </w:p>
        </w:tc>
        <w:tc>
          <w:tcPr>
            <w:tcW w:w="2040" w:type="dxa"/>
            <w:vAlign w:val="bottom"/>
          </w:tcPr>
          <w:p>
            <w:pPr>
              <w:spacing w:after="0"/>
              <w:rPr>
                <w:sz w:val="18"/>
                <w:szCs w:val="18"/>
                <w:color w:val="auto"/>
              </w:rPr>
            </w:pPr>
          </w:p>
        </w:tc>
        <w:tc>
          <w:tcPr>
            <w:tcW w:w="1960" w:type="dxa"/>
            <w:vAlign w:val="bottom"/>
            <w:gridSpan w:val="4"/>
          </w:tcPr>
          <w:p>
            <w:pPr>
              <w:jc w:val="center"/>
              <w:ind w:left="92"/>
              <w:spacing w:after="0"/>
              <w:rPr>
                <w:sz w:val="20"/>
                <w:szCs w:val="20"/>
                <w:color w:val="auto"/>
              </w:rPr>
            </w:pPr>
            <w:r>
              <w:rPr>
                <w:rFonts w:ascii="Arial" w:cs="Arial" w:eastAsia="Arial" w:hAnsi="Arial"/>
                <w:sz w:val="18"/>
                <w:szCs w:val="18"/>
                <w:color w:val="auto"/>
                <w:w w:val="88"/>
              </w:rPr>
              <w:t>99.47%</w:t>
            </w:r>
          </w:p>
        </w:tc>
        <w:tc>
          <w:tcPr>
            <w:tcW w:w="1920" w:type="dxa"/>
            <w:vAlign w:val="bottom"/>
            <w:gridSpan w:val="4"/>
          </w:tcPr>
          <w:p>
            <w:pPr>
              <w:jc w:val="center"/>
              <w:ind w:left="92"/>
              <w:spacing w:after="0"/>
              <w:rPr>
                <w:sz w:val="20"/>
                <w:szCs w:val="20"/>
                <w:color w:val="auto"/>
              </w:rPr>
            </w:pPr>
            <w:r>
              <w:rPr>
                <w:rFonts w:ascii="Arial" w:cs="Arial" w:eastAsia="Arial" w:hAnsi="Arial"/>
                <w:sz w:val="18"/>
                <w:szCs w:val="18"/>
                <w:color w:val="auto"/>
                <w:w w:val="90"/>
              </w:rPr>
              <w:t>0.08%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OF OUTSTANDING</w:t>
            </w:r>
          </w:p>
        </w:tc>
        <w:tc>
          <w:tcPr>
            <w:tcW w:w="196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88"/>
              </w:rPr>
              <w:t>90.42%</w:t>
            </w:r>
          </w:p>
        </w:tc>
        <w:tc>
          <w:tcPr>
            <w:tcW w:w="192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90"/>
              </w:rPr>
              <w:t>0.07%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0.41%</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On December 10, 2006, NTIC obtained a demand line of credit of up to the principal amount of $600,000 from National City Bank to fund NTIC’s obligations related to a required deposit of $445,469 with the courts in Finland in connection with NTIC’s legal action in Finland. Refer to Note 19 of NTIC’s consolidated financial statements included elsewhere in this report for more information regarding the legal action. Advances made under the demand letter of credit will be made at the sole discretion of National City Bank and will be due and payable on demand. Any outstanding unpaid principal balance under the demand letter of</w:t>
      </w:r>
    </w:p>
    <w:p>
      <w:pPr>
        <w:spacing w:after="0" w:line="3" w:lineRule="exact"/>
        <w:rPr>
          <w:sz w:val="20"/>
          <w:szCs w:val="20"/>
          <w:color w:val="auto"/>
        </w:rPr>
      </w:pPr>
    </w:p>
    <w:p>
      <w:pPr>
        <w:ind w:right="40"/>
        <w:spacing w:after="0" w:line="209" w:lineRule="auto"/>
        <w:rPr>
          <w:sz w:val="20"/>
          <w:szCs w:val="20"/>
          <w:color w:val="auto"/>
        </w:rPr>
      </w:pPr>
      <w:r>
        <w:rPr>
          <w:rFonts w:ascii="Arial" w:cs="Arial" w:eastAsia="Arial" w:hAnsi="Arial"/>
          <w:sz w:val="18"/>
          <w:szCs w:val="18"/>
          <w:color w:val="auto"/>
        </w:rPr>
        <w:t>credit bears interest at an annual rate based on LIBOR plus 2.25%. Interest is payable in arrears on January 15, 2007 and on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each month thereafter and on demand.</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590" w:right="219" w:bottom="1440" w:gutter="0" w:footer="0" w:header="0"/>
        </w:sectPr>
      </w:pPr>
    </w:p>
    <w:bookmarkStart w:id="31" w:name="page32"/>
    <w:bookmarkEnd w:id="31"/>
    <w:p>
      <w:pPr>
        <w:ind w:right="260"/>
        <w:spacing w:after="0" w:line="259" w:lineRule="auto"/>
        <w:rPr>
          <w:sz w:val="20"/>
          <w:szCs w:val="20"/>
          <w:color w:val="auto"/>
        </w:rPr>
      </w:pPr>
      <w:r>
        <w:rPr>
          <w:rFonts w:ascii="Arial" w:cs="Arial" w:eastAsia="Arial" w:hAnsi="Arial"/>
          <w:sz w:val="18"/>
          <w:szCs w:val="18"/>
          <w:color w:val="auto"/>
        </w:rPr>
        <w:t>On February 15, 2007, NTIC received a comment letter from the Securities and Exchange Commission (“SEC”). The letter inquires as to the Report of Independent Registered Public Accounting Firm. NTIC has had various correspondences with the SEC regarding the letter and fully intends to investigate the matter and provide a response to the SEC in accordance with the time frame requested.</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10-QSB:</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w w:val="87"/>
              </w:rPr>
              <w:t>Exhibit No.</w:t>
            </w:r>
          </w:p>
        </w:tc>
        <w:tc>
          <w:tcPr>
            <w:tcW w:w="10260" w:type="dxa"/>
            <w:vAlign w:val="bottom"/>
            <w:gridSpan w:val="2"/>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720" w:type="dxa"/>
            <w:vAlign w:val="bottom"/>
            <w:tcBorders>
              <w:bottom w:val="single" w:sz="8" w:color="auto"/>
            </w:tcBorders>
          </w:tcPr>
          <w:p>
            <w:pPr>
              <w:spacing w:after="0"/>
              <w:rPr>
                <w:sz w:val="8"/>
                <w:szCs w:val="8"/>
                <w:color w:val="auto"/>
              </w:rPr>
            </w:pPr>
          </w:p>
        </w:tc>
      </w:tr>
      <w:tr>
        <w:trPr>
          <w:trHeight w:val="309"/>
        </w:trPr>
        <w:tc>
          <w:tcPr>
            <w:tcW w:w="1180" w:type="dxa"/>
            <w:vAlign w:val="bottom"/>
          </w:tcPr>
          <w:p>
            <w:pPr>
              <w:jc w:val="right"/>
              <w:ind w:right="356"/>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w w:val="98"/>
              </w:rPr>
              <w:t>Commercial Note: Demand Line of Credit dated December 10, 2006 in the principal amount of $600,000 issued by Northern</w:t>
            </w:r>
          </w:p>
        </w:tc>
      </w:tr>
      <w:tr>
        <w:trPr>
          <w:trHeight w:val="222"/>
        </w:trPr>
        <w:tc>
          <w:tcPr>
            <w:tcW w:w="1180" w:type="dxa"/>
            <w:vAlign w:val="bottom"/>
          </w:tcPr>
          <w:p>
            <w:pPr>
              <w:spacing w:after="0"/>
              <w:rPr>
                <w:sz w:val="19"/>
                <w:szCs w:val="19"/>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Technologies International Corporation to National City Bank</w:t>
            </w:r>
          </w:p>
        </w:tc>
      </w:tr>
      <w:tr>
        <w:trPr>
          <w:trHeight w:val="432"/>
        </w:trPr>
        <w:tc>
          <w:tcPr>
            <w:tcW w:w="1180" w:type="dxa"/>
            <w:vAlign w:val="bottom"/>
          </w:tcPr>
          <w:p>
            <w:pPr>
              <w:jc w:val="right"/>
              <w:ind w:right="356"/>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180" w:type="dxa"/>
            <w:vAlign w:val="bottom"/>
          </w:tcPr>
          <w:p>
            <w:pPr>
              <w:jc w:val="right"/>
              <w:ind w:right="356"/>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26"/>
        </w:trPr>
        <w:tc>
          <w:tcPr>
            <w:tcW w:w="1180" w:type="dxa"/>
            <w:vAlign w:val="bottom"/>
          </w:tcPr>
          <w:p>
            <w:pPr>
              <w:jc w:val="right"/>
              <w:ind w:right="356"/>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w:t>
            </w:r>
          </w:p>
        </w:tc>
      </w:tr>
      <w:tr>
        <w:trPr>
          <w:trHeight w:val="222"/>
        </w:trPr>
        <w:tc>
          <w:tcPr>
            <w:tcW w:w="1180" w:type="dxa"/>
            <w:vAlign w:val="bottom"/>
          </w:tcPr>
          <w:p>
            <w:pPr>
              <w:spacing w:after="0"/>
              <w:rPr>
                <w:sz w:val="19"/>
                <w:szCs w:val="19"/>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Act of 2002</w:t>
            </w:r>
          </w:p>
        </w:tc>
      </w:tr>
      <w:tr>
        <w:trPr>
          <w:trHeight w:val="426"/>
        </w:trPr>
        <w:tc>
          <w:tcPr>
            <w:tcW w:w="1180" w:type="dxa"/>
            <w:vAlign w:val="bottom"/>
          </w:tcPr>
          <w:p>
            <w:pPr>
              <w:jc w:val="right"/>
              <w:ind w:right="356"/>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w:t>
            </w:r>
          </w:p>
        </w:tc>
      </w:tr>
      <w:tr>
        <w:trPr>
          <w:trHeight w:val="222"/>
        </w:trPr>
        <w:tc>
          <w:tcPr>
            <w:tcW w:w="1180" w:type="dxa"/>
            <w:vAlign w:val="bottom"/>
          </w:tcPr>
          <w:p>
            <w:pPr>
              <w:spacing w:after="0"/>
              <w:rPr>
                <w:sz w:val="19"/>
                <w:szCs w:val="19"/>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Act of 2002</w:t>
            </w:r>
          </w:p>
        </w:tc>
      </w:tr>
      <w:tr>
        <w:trPr>
          <w:trHeight w:val="432"/>
        </w:trPr>
        <w:tc>
          <w:tcPr>
            <w:tcW w:w="1180" w:type="dxa"/>
            <w:vAlign w:val="bottom"/>
          </w:tcPr>
          <w:p>
            <w:pPr>
              <w:spacing w:after="0"/>
              <w:rPr>
                <w:sz w:val="24"/>
                <w:szCs w:val="24"/>
                <w:color w:val="auto"/>
              </w:rPr>
            </w:pPr>
          </w:p>
        </w:tc>
        <w:tc>
          <w:tcPr>
            <w:tcW w:w="10260" w:type="dxa"/>
            <w:vAlign w:val="bottom"/>
            <w:gridSpan w:val="2"/>
          </w:tcPr>
          <w:p>
            <w:pPr>
              <w:jc w:val="right"/>
              <w:ind w:right="564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40"/>
          </w:cols>
          <w:pgMar w:left="240" w:top="590" w:right="219" w:bottom="1440" w:gutter="0" w:footer="0" w:header="0"/>
        </w:sectPr>
      </w:pPr>
    </w:p>
    <w:bookmarkStart w:id="32" w:name="page33"/>
    <w:bookmarkEnd w:id="3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NORTHERN TECHNOLOGIES INTERNATIONAL</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779145</wp:posOffset>
            </wp:positionV>
            <wp:extent cx="29159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101600</wp:posOffset>
            </wp:positionV>
            <wp:extent cx="1200785" cy="6089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785" cy="60896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 April 11,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 and Duly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Authorized to Sign on Behalf of the Registrant)</w:t>
      </w:r>
    </w:p>
    <w:p>
      <w:pPr>
        <w:spacing w:after="0" w:line="200" w:lineRule="exact"/>
        <w:rPr>
          <w:sz w:val="20"/>
          <w:szCs w:val="20"/>
          <w:color w:val="auto"/>
        </w:rPr>
      </w:pPr>
    </w:p>
    <w:p>
      <w:pPr>
        <w:sectPr>
          <w:pgSz w:w="11900" w:h="16838" w:orient="portrait"/>
          <w:cols w:equalWidth="0" w:num="2">
            <w:col w:w="6140" w:space="720"/>
            <w:col w:w="4440"/>
          </w:cols>
          <w:pgMar w:left="240" w:top="584" w:right="359" w:bottom="1440" w:gutter="0" w:footer="0" w:header="0"/>
          <w:type w:val="continuous"/>
        </w:sectPr>
      </w:pP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00"/>
          </w:cols>
          <w:pgMar w:left="240" w:top="584" w:right="359" w:bottom="1440" w:gutter="0" w:footer="0" w:header="0"/>
          <w:type w:val="continuous"/>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10-QSB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40" w:type="dxa"/>
            <w:vAlign w:val="bottom"/>
          </w:tcPr>
          <w:p>
            <w:pPr>
              <w:spacing w:after="0"/>
              <w:rPr>
                <w:sz w:val="15"/>
                <w:szCs w:val="15"/>
                <w:color w:val="auto"/>
              </w:rPr>
            </w:pPr>
          </w:p>
        </w:tc>
        <w:tc>
          <w:tcPr>
            <w:tcW w:w="4600" w:type="dxa"/>
            <w:vAlign w:val="bottom"/>
          </w:tcPr>
          <w:p>
            <w:pPr>
              <w:jc w:val="right"/>
              <w:ind w:right="1912"/>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5"/>
                <w:szCs w:val="15"/>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88"/>
              </w:rPr>
              <w:t>Method of Filing</w:t>
            </w:r>
          </w:p>
        </w:tc>
      </w:tr>
      <w:tr>
        <w:trPr>
          <w:trHeight w:val="95"/>
        </w:trPr>
        <w:tc>
          <w:tcPr>
            <w:tcW w:w="1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w w:val="92"/>
              </w:rPr>
              <w:t>Commercial Note: Demand Line of Credit dated December 10,</w:t>
            </w:r>
          </w:p>
        </w:tc>
        <w:tc>
          <w:tcPr>
            <w:tcW w:w="5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8"/>
              </w:rPr>
              <w:t>Incorporated by Reference to Exhibit 10.1 to the Company’s</w:t>
            </w:r>
          </w:p>
        </w:tc>
      </w:tr>
      <w:tr>
        <w:trPr>
          <w:trHeight w:val="216"/>
        </w:trPr>
        <w:tc>
          <w:tcPr>
            <w:tcW w:w="1180" w:type="dxa"/>
            <w:vAlign w:val="bottom"/>
          </w:tcPr>
          <w:p>
            <w:pPr>
              <w:spacing w:after="0"/>
              <w:rPr>
                <w:sz w:val="18"/>
                <w:szCs w:val="18"/>
                <w:color w:val="auto"/>
              </w:rPr>
            </w:pP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w w:val="94"/>
              </w:rPr>
              <w:t>2006 in the principal amount of $600,000 issued by Northern</w:t>
            </w:r>
          </w:p>
        </w:tc>
        <w:tc>
          <w:tcPr>
            <w:tcW w:w="54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Quarterly Report on Form 10-QSB for the quarterly period</w:t>
            </w:r>
          </w:p>
        </w:tc>
      </w:tr>
      <w:tr>
        <w:trPr>
          <w:trHeight w:val="222"/>
        </w:trPr>
        <w:tc>
          <w:tcPr>
            <w:tcW w:w="1180" w:type="dxa"/>
            <w:vAlign w:val="bottom"/>
          </w:tcPr>
          <w:p>
            <w:pPr>
              <w:spacing w:after="0"/>
              <w:rPr>
                <w:sz w:val="19"/>
                <w:szCs w:val="19"/>
                <w:color w:val="auto"/>
              </w:rPr>
            </w:pP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w w:val="94"/>
              </w:rPr>
              <w:t>Technologies International Corporation to National City Bank</w:t>
            </w:r>
          </w:p>
        </w:tc>
        <w:tc>
          <w:tcPr>
            <w:tcW w:w="54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ending November 30, 2006 (File No. 001-11038)</w:t>
            </w: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w w:val="91"/>
              </w:rPr>
              <w:t>Certification of Chief Executive Officer Pursuant to Section 302</w:t>
            </w:r>
          </w:p>
        </w:tc>
        <w:tc>
          <w:tcPr>
            <w:tcW w:w="5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r>
      <w:tr>
        <w:trPr>
          <w:trHeight w:val="222"/>
        </w:trPr>
        <w:tc>
          <w:tcPr>
            <w:tcW w:w="1180" w:type="dxa"/>
            <w:vAlign w:val="bottom"/>
          </w:tcPr>
          <w:p>
            <w:pPr>
              <w:spacing w:after="0"/>
              <w:rPr>
                <w:sz w:val="19"/>
                <w:szCs w:val="19"/>
                <w:color w:val="auto"/>
              </w:rPr>
            </w:pP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rPr>
              <w:t>of the Sarbanes-Oxley Act of 2002</w:t>
            </w:r>
          </w:p>
        </w:tc>
        <w:tc>
          <w:tcPr>
            <w:tcW w:w="54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w w:val="92"/>
              </w:rPr>
              <w:t>Certification of Chief Financial Officer Pursuant to Section 302</w:t>
            </w:r>
          </w:p>
        </w:tc>
        <w:tc>
          <w:tcPr>
            <w:tcW w:w="5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r>
      <w:tr>
        <w:trPr>
          <w:trHeight w:val="222"/>
        </w:trPr>
        <w:tc>
          <w:tcPr>
            <w:tcW w:w="1180" w:type="dxa"/>
            <w:vAlign w:val="bottom"/>
          </w:tcPr>
          <w:p>
            <w:pPr>
              <w:spacing w:after="0"/>
              <w:rPr>
                <w:sz w:val="19"/>
                <w:szCs w:val="19"/>
                <w:color w:val="auto"/>
              </w:rPr>
            </w:pP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rPr>
              <w:t>of the Sarbanes-Oxley Act of 2002</w:t>
            </w:r>
          </w:p>
        </w:tc>
        <w:tc>
          <w:tcPr>
            <w:tcW w:w="54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w w:val="94"/>
              </w:rPr>
              <w:t>Certification of Chief Executive Officer Pursuant to 18 U.S.C.</w:t>
            </w:r>
          </w:p>
        </w:tc>
        <w:tc>
          <w:tcPr>
            <w:tcW w:w="5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16"/>
        </w:trPr>
        <w:tc>
          <w:tcPr>
            <w:tcW w:w="1180" w:type="dxa"/>
            <w:vAlign w:val="bottom"/>
          </w:tcPr>
          <w:p>
            <w:pPr>
              <w:spacing w:after="0"/>
              <w:rPr>
                <w:sz w:val="18"/>
                <w:szCs w:val="18"/>
                <w:color w:val="auto"/>
              </w:rPr>
            </w:pP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rPr>
              <w:t>Section 1350, as Adopted Pursuant to Section 906 of the</w:t>
            </w:r>
          </w:p>
        </w:tc>
        <w:tc>
          <w:tcPr>
            <w:tcW w:w="54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rPr>
              <w:t>Sarbanes-Oxley Act of 2002</w:t>
            </w:r>
          </w:p>
        </w:tc>
        <w:tc>
          <w:tcPr>
            <w:tcW w:w="54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w w:val="95"/>
              </w:rPr>
              <w:t>Certification of Chief Financial Officer Pursuant to 18 U.S.C.</w:t>
            </w:r>
          </w:p>
        </w:tc>
        <w:tc>
          <w:tcPr>
            <w:tcW w:w="54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16"/>
        </w:trPr>
        <w:tc>
          <w:tcPr>
            <w:tcW w:w="1180" w:type="dxa"/>
            <w:vAlign w:val="bottom"/>
          </w:tcPr>
          <w:p>
            <w:pPr>
              <w:spacing w:after="0"/>
              <w:rPr>
                <w:sz w:val="18"/>
                <w:szCs w:val="18"/>
                <w:color w:val="auto"/>
              </w:rPr>
            </w:pP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rPr>
              <w:t>Section 1350, as Adopted Pursuant to Section 906 of the</w:t>
            </w:r>
          </w:p>
        </w:tc>
        <w:tc>
          <w:tcPr>
            <w:tcW w:w="54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22"/>
        </w:trPr>
        <w:tc>
          <w:tcPr>
            <w:tcW w:w="1180" w:type="dxa"/>
            <w:vAlign w:val="bottom"/>
          </w:tcPr>
          <w:p>
            <w:pPr>
              <w:spacing w:after="0"/>
              <w:rPr>
                <w:sz w:val="19"/>
                <w:szCs w:val="19"/>
                <w:color w:val="auto"/>
              </w:rPr>
            </w:pP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rPr>
              <w:t>Sarbanes-Oxley Act of 2002</w:t>
            </w:r>
          </w:p>
        </w:tc>
        <w:tc>
          <w:tcPr>
            <w:tcW w:w="54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432"/>
        </w:trPr>
        <w:tc>
          <w:tcPr>
            <w:tcW w:w="1180" w:type="dxa"/>
            <w:vAlign w:val="bottom"/>
          </w:tcPr>
          <w:p>
            <w:pPr>
              <w:spacing w:after="0"/>
              <w:rPr>
                <w:sz w:val="24"/>
                <w:szCs w:val="24"/>
                <w:color w:val="auto"/>
              </w:rPr>
            </w:pPr>
          </w:p>
        </w:tc>
        <w:tc>
          <w:tcPr>
            <w:tcW w:w="5140" w:type="dxa"/>
            <w:vAlign w:val="bottom"/>
            <w:gridSpan w:val="2"/>
          </w:tcPr>
          <w:p>
            <w:pPr>
              <w:jc w:val="right"/>
              <w:ind w:right="452"/>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158"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160" w:right="300" w:hanging="571"/>
        <w:spacing w:after="0" w:line="306" w:lineRule="auto"/>
        <w:tabs>
          <w:tab w:leader="none" w:pos="11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160" w:right="240" w:hanging="571"/>
        <w:spacing w:after="0" w:line="370" w:lineRule="auto"/>
        <w:tabs>
          <w:tab w:leader="none" w:pos="116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100" w:hanging="571"/>
        <w:spacing w:after="0" w:line="259"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ind w:left="1160" w:right="140" w:hanging="571"/>
        <w:spacing w:after="0" w:line="332" w:lineRule="auto"/>
        <w:tabs>
          <w:tab w:leader="none" w:pos="11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480" w:hanging="571"/>
        <w:spacing w:after="0" w:line="268"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843915</wp:posOffset>
            </wp:positionV>
            <wp:extent cx="29159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354965</wp:posOffset>
            </wp:positionV>
            <wp:extent cx="1732280" cy="420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Date: April 11,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6140" w:space="720"/>
            <w:col w:w="4560"/>
          </w:cols>
          <w:pgMar w:left="240" w:top="125" w:right="2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158"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160" w:right="300" w:hanging="571"/>
        <w:spacing w:after="0" w:line="306" w:lineRule="auto"/>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160" w:right="240" w:hanging="571"/>
        <w:spacing w:after="0" w:line="370" w:lineRule="auto"/>
        <w:tabs>
          <w:tab w:leader="none" w:pos="116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100" w:hanging="571"/>
        <w:spacing w:after="0" w:line="259"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ind w:left="1160" w:right="140" w:hanging="571"/>
        <w:spacing w:after="0" w:line="332" w:lineRule="auto"/>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480" w:hanging="571"/>
        <w:spacing w:after="0" w:line="268"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817880</wp:posOffset>
            </wp:positionV>
            <wp:extent cx="2727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27325"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140335</wp:posOffset>
            </wp:positionV>
            <wp:extent cx="1200785" cy="6089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785" cy="60896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April 11,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Corporate Secretary</w:t>
      </w:r>
    </w:p>
    <w:p>
      <w:pPr>
        <w:sectPr>
          <w:pgSz w:w="11900" w:h="16838" w:orient="portrait"/>
          <w:cols w:equalWidth="0" w:num="2">
            <w:col w:w="6440" w:space="720"/>
            <w:col w:w="4260"/>
          </w:cols>
          <w:pgMar w:left="240" w:top="125" w:right="239" w:bottom="1440" w:gutter="0" w:footer="0" w:header="0"/>
          <w:type w:val="continuous"/>
        </w:sectPr>
      </w:pPr>
    </w:p>
    <w:bookmarkStart w:id="36" w:name="page37"/>
    <w:bookmarkEnd w:id="36"/>
    <w:p>
      <w:pPr>
        <w:ind w:left="105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spacing w:after="0" w:line="2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February 28, 2007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29159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732280" cy="420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11, 2007</w:t>
      </w:r>
    </w:p>
    <w:p>
      <w:pPr>
        <w:sectPr>
          <w:pgSz w:w="11900" w:h="16838" w:orient="portrait"/>
          <w:cols w:equalWidth="0" w:num="1">
            <w:col w:w="11420"/>
          </w:cols>
          <w:pgMar w:left="240" w:top="125" w:right="239" w:bottom="1440" w:gutter="0" w:footer="0" w:header="0"/>
        </w:sectPr>
      </w:pPr>
    </w:p>
    <w:bookmarkStart w:id="37" w:name="page38"/>
    <w:bookmarkEnd w:id="37"/>
    <w:p>
      <w:pPr>
        <w:ind w:left="105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260"/>
        <w:spacing w:after="0" w:line="2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February 28, 2007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29159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200785" cy="6089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78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11,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7"/>
    </w:lvl>
  </w:abstractNum>
  <w:abstractNum w:abstractNumId="6">
    <w:nsid w:val="DED7263"/>
    <w:multiLevelType w:val="hybridMultilevel"/>
    <w:lvl w:ilvl="0">
      <w:lvlJc w:val="left"/>
      <w:lvlText w:val="%1."/>
      <w:numFmt w:val="decimal"/>
      <w:start w:val="8"/>
    </w:lvl>
  </w:abstractNum>
  <w:abstractNum w:abstractNumId="7">
    <w:nsid w:val="7FDCC233"/>
    <w:multiLevelType w:val="hybridMultilevel"/>
    <w:lvl w:ilvl="0">
      <w:lvlJc w:val="left"/>
      <w:lvlText w:val="%1."/>
      <w:numFmt w:val="decimal"/>
      <w:start w:val="9"/>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1."/>
      <w:numFmt w:val="decimal"/>
      <w:start w:val="11"/>
    </w:lvl>
  </w:abstractNum>
  <w:abstractNum w:abstractNumId="10">
    <w:nsid w:val="6B68079A"/>
    <w:multiLevelType w:val="hybridMultilevel"/>
    <w:lvl w:ilvl="0">
      <w:lvlJc w:val="left"/>
      <w:lvlText w:val="%1."/>
      <w:numFmt w:val="decimal"/>
      <w:start w:val="13"/>
    </w:lvl>
  </w:abstractNum>
  <w:abstractNum w:abstractNumId="11">
    <w:nsid w:val="4E6AFB66"/>
    <w:multiLevelType w:val="hybridMultilevel"/>
    <w:lvl w:ilvl="0">
      <w:lvlJc w:val="left"/>
      <w:lvlText w:val="%1."/>
      <w:numFmt w:val="decimal"/>
      <w:start w:val="14"/>
    </w:lvl>
  </w:abstractNum>
  <w:abstractNum w:abstractNumId="12">
    <w:nsid w:val="25E45D32"/>
    <w:multiLevelType w:val="hybridMultilevel"/>
    <w:lvl w:ilvl="0">
      <w:lvlJc w:val="left"/>
      <w:lvlText w:val="%1."/>
      <w:numFmt w:val="decimal"/>
      <w:start w:val="16"/>
    </w:lvl>
  </w:abstractNum>
  <w:abstractNum w:abstractNumId="13">
    <w:nsid w:val="519B500D"/>
    <w:multiLevelType w:val="hybridMultilevel"/>
    <w:lvl w:ilvl="0">
      <w:lvlJc w:val="left"/>
      <w:lvlText w:val="%1."/>
      <w:numFmt w:val="decimal"/>
      <w:start w:val="17"/>
    </w:lvl>
  </w:abstractNum>
  <w:abstractNum w:abstractNumId="14">
    <w:nsid w:val="431BD7B7"/>
    <w:multiLevelType w:val="hybridMultilevel"/>
    <w:lvl w:ilvl="0">
      <w:lvlJc w:val="left"/>
      <w:lvlText w:val="%1."/>
      <w:numFmt w:val="decimal"/>
      <w:start w:val="18"/>
    </w:lvl>
  </w:abstractNum>
  <w:abstractNum w:abstractNumId="15">
    <w:nsid w:val="3F2DBA31"/>
    <w:multiLevelType w:val="hybridMultilevel"/>
    <w:lvl w:ilvl="0">
      <w:lvlJc w:val="left"/>
      <w:lvlText w:val="%1."/>
      <w:numFmt w:val="decimal"/>
      <w:start w:val="19"/>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2019-12-13T20:11:59Z</dcterms:created>
  <dcterms:modified xsi:type="dcterms:W3CDTF">2019-12-13T20:11:59Z</dcterms:modified>
</cp:coreProperties>
</file>