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680" w:right="1880" w:hanging="3672"/>
        <w:spacing w:after="0" w:line="493" w:lineRule="auto"/>
        <w:tabs>
          <w:tab w:leader="none" w:pos="22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30, 2025</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040" w:space="720"/>
            <w:col w:w="4480"/>
          </w:cols>
          <w:pgMar w:left="320" w:top="675" w:right="339" w:bottom="1440" w:gutter="0" w:footer="0" w:header="0"/>
          <w:type w:val="continuous"/>
        </w:sectPr>
      </w:pPr>
    </w:p>
    <w:p>
      <w:pPr>
        <w:spacing w:after="0" w:line="1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5, 2026, there were 9,492,001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30,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580" w:type="dxa"/>
            <w:vAlign w:val="bottom"/>
            <w:gridSpan w:val="19"/>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412"/>
        </w:trPr>
        <w:tc>
          <w:tcPr>
            <w:tcW w:w="2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PART I—FINANCIAL INFORMATION</w:t>
            </w:r>
          </w:p>
        </w:tc>
        <w:tc>
          <w:tcPr>
            <w:tcW w:w="750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November 30, 2025 (unaudited) and August 31, 2025 (audited)</w:t>
            </w:r>
          </w:p>
        </w:tc>
        <w:tc>
          <w:tcPr>
            <w:tcW w:w="2720" w:type="dxa"/>
            <w:vAlign w:val="bottom"/>
            <w:gridSpan w:val="5"/>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Statements of Operations (unaudited) for the Three Months Ended November 30, 2025 and 2024</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(Loss) (unaudited) for the Three Months Ended November 30, 2025 and 2024</w:t>
            </w:r>
          </w:p>
        </w:tc>
        <w:tc>
          <w:tcPr>
            <w:tcW w:w="40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Equity (unaudited) for the Three Months Ended November 30, 2025 and 2024</w:t>
            </w:r>
          </w:p>
        </w:tc>
        <w:tc>
          <w:tcPr>
            <w:tcW w:w="174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(unaudited) for the Three Months Ended November 30, 2025 and 2024</w:t>
            </w:r>
          </w:p>
        </w:tc>
        <w:tc>
          <w:tcPr>
            <w:tcW w:w="1780" w:type="dxa"/>
            <w:vAlign w:val="bottom"/>
            <w:gridSpan w:val="2"/>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1780" w:type="dxa"/>
            <w:vAlign w:val="bottom"/>
            <w:gridSpan w:val="2"/>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460" w:type="dxa"/>
            <w:vAlign w:val="bottom"/>
            <w:tcBorders>
              <w:left w:val="single" w:sz="8" w:color="0000EE"/>
            </w:tcBorders>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40" w:type="dxa"/>
            <w:vAlign w:val="bottom"/>
            <w:tcBorders>
              <w:top w:val="single" w:sz="8" w:color="0000EE"/>
            </w:tcBorders>
            <w:gridSpan w:val="3"/>
          </w:tcPr>
          <w:p>
            <w:pPr>
              <w:spacing w:after="0"/>
              <w:rPr>
                <w:sz w:val="24"/>
                <w:szCs w:val="24"/>
                <w:color w:val="auto"/>
              </w:rPr>
            </w:pPr>
          </w:p>
        </w:tc>
        <w:tc>
          <w:tcPr>
            <w:tcW w:w="7620" w:type="dxa"/>
            <w:vAlign w:val="bottom"/>
            <w:gridSpan w:val="11"/>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60" w:type="dxa"/>
            <w:vAlign w:val="bottom"/>
            <w:tcBorders>
              <w:top w:val="single" w:sz="8" w:color="0000EE"/>
            </w:tcBorders>
            <w:gridSpan w:val="3"/>
          </w:tcPr>
          <w:p>
            <w:pPr>
              <w:spacing w:after="0"/>
              <w:rPr>
                <w:sz w:val="24"/>
                <w:szCs w:val="24"/>
                <w:color w:val="auto"/>
              </w:rPr>
            </w:pPr>
          </w:p>
        </w:tc>
        <w:tc>
          <w:tcPr>
            <w:tcW w:w="8020" w:type="dxa"/>
            <w:vAlign w:val="bottom"/>
            <w:gridSpan w:val="12"/>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0" w:type="dxa"/>
            <w:vAlign w:val="bottom"/>
            <w:gridSpan w:val="1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453"/>
        </w:trPr>
        <w:tc>
          <w:tcPr>
            <w:tcW w:w="5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gridSpan w:val="4"/>
          </w:tcPr>
          <w:p>
            <w:pPr>
              <w:spacing w:after="0"/>
              <w:rPr>
                <w:sz w:val="24"/>
                <w:szCs w:val="24"/>
                <w:color w:val="auto"/>
              </w:rPr>
            </w:pPr>
          </w:p>
        </w:tc>
        <w:tc>
          <w:tcPr>
            <w:tcW w:w="5980" w:type="dxa"/>
            <w:vAlign w:val="bottom"/>
            <w:gridSpan w:val="12"/>
          </w:tcPr>
          <w:p>
            <w:pPr>
              <w:jc w:val="right"/>
              <w:ind w:right="760"/>
              <w:spacing w:after="0"/>
              <w:rPr>
                <w:sz w:val="20"/>
                <w:szCs w:val="20"/>
                <w:color w:val="auto"/>
              </w:rPr>
            </w:pPr>
            <w:r>
              <w:rPr>
                <w:rFonts w:ascii="Times New Roman" w:cs="Times New Roman" w:eastAsia="Times New Roman" w:hAnsi="Times New Roman"/>
                <w:sz w:val="18"/>
                <w:szCs w:val="18"/>
                <w:color w:val="auto"/>
              </w:rPr>
              <w:t>_________________</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pacing w:after="0" w:line="1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 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 owned subsidiary in India,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 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BALANCE SHEETS AS OF NOVEMBER 30, 2025 (UNAUDITED) AND AUGUST 31, 2025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2025</w:t>
            </w:r>
          </w:p>
        </w:tc>
      </w:tr>
      <w:tr>
        <w:trPr>
          <w:trHeight w:val="20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6,389,809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7,250,523</w:t>
            </w: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766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less allowance for credit losses of $290,493 as of November 30, 2025 and $235,000 as of</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August 31, 2025</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18,202,077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18,443,230</w:t>
            </w:r>
          </w:p>
        </w:tc>
      </w:tr>
      <w:tr>
        <w:trPr>
          <w:trHeight w:val="216"/>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1,077,552</w:t>
            </w:r>
          </w:p>
        </w:tc>
      </w:tr>
      <w:tr>
        <w:trPr>
          <w:trHeight w:val="216"/>
        </w:trPr>
        <w:tc>
          <w:tcPr>
            <w:tcW w:w="7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340,002</w:t>
            </w: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16,107,563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15,525,230</w:t>
            </w:r>
          </w:p>
        </w:tc>
      </w:tr>
      <w:tr>
        <w:trPr>
          <w:trHeight w:val="216"/>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2,301,076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1,706,279</w:t>
            </w:r>
          </w:p>
        </w:tc>
      </w:tr>
      <w:tr>
        <w:trPr>
          <w:trHeight w:val="209"/>
        </w:trPr>
        <w:tc>
          <w:tcPr>
            <w:tcW w:w="7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44,624,494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44,342,816</w:t>
            </w:r>
          </w:p>
        </w:tc>
      </w:tr>
      <w:tr>
        <w:trPr>
          <w:trHeight w:val="209"/>
        </w:trPr>
        <w:tc>
          <w:tcPr>
            <w:tcW w:w="7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1"/>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15,800,929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15,183,918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305" w:right="339" w:bottom="447"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income tax, net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Operating lease right of use assets</w:t>
      </w:r>
    </w:p>
    <w:p>
      <w:pPr>
        <w:spacing w:after="0" w:line="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29,277,113</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28,611,777</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453,113</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503,575</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8,594,926</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8,827,768</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4,782,376</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496,441</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493,050</w:t>
            </w: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43,603,969</w:t>
            </w:r>
          </w:p>
        </w:tc>
        <w:tc>
          <w:tcPr>
            <w:tcW w:w="12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43,218,546</w:t>
            </w: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104,029,392</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102,745,280</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-865505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-591185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-307975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160" w:space="720"/>
            <w:col w:w="3360"/>
          </w:cols>
          <w:pgMar w:left="320" w:top="1305" w:right="339" w:bottom="447"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9,134,428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9,329,021</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2,887,310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2,860,256</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9,665,387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8,044,196</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368,589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414,304</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2,119,349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1,844,817</w:t>
            </w:r>
          </w:p>
        </w:tc>
      </w:tr>
      <w:tr>
        <w:trPr>
          <w:trHeight w:val="216"/>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721,893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1,066,761</w:t>
            </w:r>
          </w:p>
        </w:tc>
      </w:tr>
      <w:tr>
        <w:trPr>
          <w:trHeight w:val="216"/>
        </w:trPr>
        <w:tc>
          <w:tcPr>
            <w:tcW w:w="7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286,352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344,739</w:t>
            </w:r>
          </w:p>
        </w:tc>
      </w:tr>
      <w:tr>
        <w:trPr>
          <w:trHeight w:val="210"/>
        </w:trPr>
        <w:tc>
          <w:tcPr>
            <w:tcW w:w="78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25,183,308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23,904,094</w:t>
            </w:r>
          </w:p>
        </w:tc>
      </w:tr>
      <w:tr>
        <w:trPr>
          <w:trHeight w:val="210"/>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1,513,166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1,513,166</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loans, noncurrent portion</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445,766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466,984</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 less current portion</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210,089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148,311</w:t>
            </w:r>
          </w:p>
        </w:tc>
      </w:tr>
      <w:tr>
        <w:trPr>
          <w:trHeight w:val="210"/>
        </w:trPr>
        <w:tc>
          <w:tcPr>
            <w:tcW w:w="78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2,169,021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2,128,461</w:t>
            </w:r>
          </w:p>
        </w:tc>
      </w:tr>
      <w:tr>
        <w:trPr>
          <w:trHeight w:val="209"/>
        </w:trPr>
        <w:tc>
          <w:tcPr>
            <w:tcW w:w="7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issued and outstanding</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4"/>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9,480,688 and 9,475,490, as of November 30, 2025 and August 31, 2025, respectively</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189,614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189,510</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25,402,605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25,056,976</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52,416,480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52,273,469</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(5,643,901)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(5,371,201)</w:t>
            </w:r>
          </w:p>
        </w:tc>
      </w:tr>
      <w:tr>
        <w:trPr>
          <w:trHeight w:val="209"/>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72,364,798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72,148,754</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4,312,265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4,563,971</w:t>
            </w:r>
          </w:p>
        </w:tc>
      </w:tr>
      <w:tr>
        <w:trPr>
          <w:trHeight w:val="209"/>
        </w:trPr>
        <w:tc>
          <w:tcPr>
            <w:tcW w:w="78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76,677,063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76,712,725</w:t>
            </w:r>
          </w:p>
        </w:tc>
      </w:tr>
      <w:tr>
        <w:trPr>
          <w:trHeight w:val="209"/>
        </w:trPr>
        <w:tc>
          <w:tcPr>
            <w:tcW w:w="78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104,029,392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102,745,280</w:t>
            </w:r>
          </w:p>
        </w:tc>
      </w:tr>
      <w:tr>
        <w:trPr>
          <w:trHeight w:val="20"/>
        </w:trPr>
        <w:tc>
          <w:tcPr>
            <w:tcW w:w="7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5" w:right="339" w:bottom="447" w:gutter="0" w:footer="0" w:header="0"/>
          <w:type w:val="continuous"/>
        </w:sectPr>
      </w:pPr>
    </w:p>
    <w:bookmarkStart w:id="4" w:name="page5"/>
    <w:bookmarkEnd w:id="4"/>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MONTHS ENDED NOVEMBER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09"/>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23,308,881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14,925,255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13,175,440</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8,383,626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8,162,953</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1,222,116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1,129,593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1,069,257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1,284,119</w:t>
            </w: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from joint venture operations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2,291,373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2,413,712</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4,371,502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4,267,654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4,148,953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3,858,943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1,220,912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1,343,397</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9,741,367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9,469,994</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933,632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1,106,671</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(199,966)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(120,220)</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770,908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1,012,018</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265,029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217,871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505,879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794,147</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268,060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233,056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237,819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561,091</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800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0.06</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9,480,688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9,470,507</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9,492,694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9,754,209</w:t>
            </w:r>
          </w:p>
        </w:tc>
      </w:tr>
      <w:tr>
        <w:trPr>
          <w:trHeight w:val="19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505,879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794,147</w:t>
            </w: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 FOREIGN CURRENCY TRANSLATION</w:t>
            </w:r>
          </w:p>
        </w:tc>
        <w:tc>
          <w:tcPr>
            <w:tcW w:w="14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(307,113)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(1,383,843)</w:t>
            </w:r>
          </w:p>
        </w:tc>
        <w:tc>
          <w:tcPr>
            <w:tcW w:w="0" w:type="dxa"/>
            <w:vAlign w:val="bottom"/>
          </w:tcPr>
          <w:p>
            <w:pPr>
              <w:spacing w:after="0"/>
              <w:rPr>
                <w:sz w:val="1"/>
                <w:szCs w:val="1"/>
                <w:color w:val="auto"/>
              </w:rPr>
            </w:pPr>
          </w:p>
        </w:tc>
      </w:tr>
      <w:tr>
        <w:trPr>
          <w:trHeight w:val="221"/>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(NET OF TAX)</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198,766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(589,696)</w:t>
            </w: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COMPREHENSIVE INCOME ATTRIBUTABLE TO NON-CONTROLLING INTERESTS (NET</w:t>
            </w:r>
          </w:p>
        </w:tc>
        <w:tc>
          <w:tcPr>
            <w:tcW w:w="14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(233,647)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(112,387)</w:t>
            </w:r>
          </w:p>
        </w:tc>
        <w:tc>
          <w:tcPr>
            <w:tcW w:w="0" w:type="dxa"/>
            <w:vAlign w:val="bottom"/>
          </w:tcPr>
          <w:p>
            <w:pPr>
              <w:spacing w:after="0"/>
              <w:rPr>
                <w:sz w:val="1"/>
                <w:szCs w:val="1"/>
                <w:color w:val="auto"/>
              </w:rPr>
            </w:pPr>
          </w:p>
        </w:tc>
      </w:tr>
      <w:tr>
        <w:trPr>
          <w:trHeight w:val="221"/>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NTIC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9,466,980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189,340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$23,615,564</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$ 53,771,211</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(6,382,124)</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3,981,330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$75,175,321</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42,400</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42,471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341,890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341,890</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 paid to stockholders ($0.07 per</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561,091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233,056</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794,147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(1,263,174)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(1,383,843)</w:t>
            </w:r>
          </w:p>
        </w:tc>
        <w:tc>
          <w:tcPr>
            <w:tcW w:w="0" w:type="dxa"/>
            <w:vAlign w:val="bottom"/>
          </w:tcPr>
          <w:p>
            <w:pPr>
              <w:spacing w:after="0"/>
              <w:rPr>
                <w:sz w:val="1"/>
                <w:szCs w:val="1"/>
                <w:color w:val="auto"/>
              </w:rPr>
            </w:pPr>
          </w:p>
        </w:tc>
      </w:tr>
      <w:tr>
        <w:trPr>
          <w:trHeight w:val="24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9,470,507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23,999,854</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53,669,366</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(7,645,298)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4,093,717</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$74,307,049</w:t>
            </w:r>
          </w:p>
        </w:tc>
        <w:tc>
          <w:tcPr>
            <w:tcW w:w="0" w:type="dxa"/>
            <w:vAlign w:val="bottom"/>
          </w:tcPr>
          <w:p>
            <w:pPr>
              <w:spacing w:after="0"/>
              <w:rPr>
                <w:sz w:val="1"/>
                <w:szCs w:val="1"/>
                <w:color w:val="auto"/>
              </w:rPr>
            </w:pPr>
          </w:p>
        </w:tc>
      </w:tr>
      <w:tr>
        <w:trPr>
          <w:trHeight w:val="197"/>
        </w:trPr>
        <w:tc>
          <w:tcPr>
            <w:tcW w:w="324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2025</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9,475,490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189,510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$25,056,976</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$52,273,469</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(5,371,201)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4,563,971</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$76,712,725</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34,827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34,931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310,802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310,802</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(485,353)</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paid to stockholders ($0.01 per</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237,819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268,060</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505,879</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(34,413)</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(307,113)</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30, 2025</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9,480,688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189,614</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25,402,605</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52,416,480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(5,643,901)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4,312,265</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$76,677,063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THREE MONTHS ENDED NOVEMBER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09"/>
        </w:trPr>
        <w:tc>
          <w:tcPr>
            <w:tcW w:w="7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505,879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794,147</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310,802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341,890</w:t>
            </w:r>
          </w:p>
        </w:tc>
      </w:tr>
      <w:tr>
        <w:trPr>
          <w:trHeight w:val="216"/>
        </w:trPr>
        <w:tc>
          <w:tcPr>
            <w:tcW w:w="7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expense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248,190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267,155</w:t>
            </w:r>
          </w:p>
        </w:tc>
      </w:tr>
      <w:tr>
        <w:trPr>
          <w:trHeight w:val="216"/>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expense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147,720</w:t>
            </w:r>
          </w:p>
        </w:tc>
      </w:tr>
      <w:tr>
        <w:trPr>
          <w:trHeight w:val="216"/>
        </w:trPr>
        <w:tc>
          <w:tcPr>
            <w:tcW w:w="7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(1,129,593)</w:t>
            </w:r>
          </w:p>
        </w:tc>
      </w:tr>
      <w:tr>
        <w:trPr>
          <w:trHeight w:val="216"/>
        </w:trPr>
        <w:tc>
          <w:tcPr>
            <w:tcW w:w="7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218,332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22,755</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Receivables: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1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Trade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2,874,595</w:t>
            </w:r>
          </w:p>
        </w:tc>
      </w:tr>
      <w:tr>
        <w:trPr>
          <w:trHeight w:val="216"/>
        </w:trPr>
        <w:tc>
          <w:tcPr>
            <w:tcW w:w="7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64,687</w:t>
            </w:r>
          </w:p>
        </w:tc>
      </w:tr>
      <w:tr>
        <w:trPr>
          <w:trHeight w:val="216"/>
        </w:trPr>
        <w:tc>
          <w:tcPr>
            <w:tcW w:w="71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Income taxes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(344,621)</w:t>
            </w:r>
          </w:p>
        </w:tc>
      </w:tr>
      <w:tr>
        <w:trPr>
          <w:trHeight w:val="216"/>
        </w:trPr>
        <w:tc>
          <w:tcPr>
            <w:tcW w:w="7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(73,223)</w:t>
            </w:r>
          </w:p>
        </w:tc>
      </w:tr>
      <w:tr>
        <w:trPr>
          <w:trHeight w:val="216"/>
        </w:trPr>
        <w:tc>
          <w:tcPr>
            <w:tcW w:w="7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(1,046,973)</w:t>
            </w:r>
          </w:p>
        </w:tc>
      </w:tr>
      <w:tr>
        <w:trPr>
          <w:trHeight w:val="216"/>
        </w:trPr>
        <w:tc>
          <w:tcPr>
            <w:tcW w:w="7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2,029,381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195,752</w:t>
            </w:r>
          </w:p>
        </w:tc>
      </w:tr>
      <w:tr>
        <w:trPr>
          <w:trHeight w:val="216"/>
        </w:trPr>
        <w:tc>
          <w:tcPr>
            <w:tcW w:w="7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w:t>
            </w:r>
          </w:p>
        </w:tc>
      </w:tr>
      <w:tr>
        <w:trPr>
          <w:trHeight w:val="216"/>
        </w:trPr>
        <w:tc>
          <w:tcPr>
            <w:tcW w:w="7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299,800</w:t>
            </w:r>
          </w:p>
        </w:tc>
      </w:tr>
      <w:tr>
        <w:trPr>
          <w:trHeight w:val="210"/>
        </w:trPr>
        <w:tc>
          <w:tcPr>
            <w:tcW w:w="71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341,908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2,395,066</w:t>
            </w:r>
          </w:p>
        </w:tc>
      </w:tr>
      <w:tr>
        <w:trPr>
          <w:trHeight w:val="210"/>
        </w:trPr>
        <w:tc>
          <w:tcPr>
            <w:tcW w:w="7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(1,219,616)</w:t>
            </w:r>
          </w:p>
        </w:tc>
      </w:tr>
      <w:tr>
        <w:trPr>
          <w:trHeight w:val="216"/>
        </w:trPr>
        <w:tc>
          <w:tcPr>
            <w:tcW w:w="7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patents and capitalized software costs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(38,720)</w:t>
            </w:r>
          </w:p>
        </w:tc>
      </w:tr>
      <w:tr>
        <w:trPr>
          <w:trHeight w:val="210"/>
        </w:trPr>
        <w:tc>
          <w:tcPr>
            <w:tcW w:w="7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(1,258,336)</w:t>
            </w:r>
          </w:p>
        </w:tc>
      </w:tr>
      <w:tr>
        <w:trPr>
          <w:trHeight w:val="209"/>
        </w:trPr>
        <w:tc>
          <w:tcPr>
            <w:tcW w:w="7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6,313,617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8,400,393</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line of credit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(6,508,210)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(8,173,269)</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term loans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(662,936)</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34,931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42,471</w:t>
            </w:r>
          </w:p>
        </w:tc>
      </w:tr>
      <w:tr>
        <w:trPr>
          <w:trHeight w:val="210"/>
        </w:trPr>
        <w:tc>
          <w:tcPr>
            <w:tcW w:w="71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(383,751)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(393,341)</w:t>
            </w:r>
          </w:p>
        </w:tc>
      </w:tr>
      <w:tr>
        <w:trPr>
          <w:trHeight w:val="209"/>
        </w:trPr>
        <w:tc>
          <w:tcPr>
            <w:tcW w:w="7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(125,739)</w:t>
            </w:r>
          </w:p>
        </w:tc>
      </w:tr>
      <w:tr>
        <w:trPr>
          <w:trHeight w:val="210"/>
        </w:trPr>
        <w:tc>
          <w:tcPr>
            <w:tcW w:w="7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617,650</w:t>
            </w: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7,250,523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4,952,184</w:t>
            </w:r>
          </w:p>
        </w:tc>
      </w:tr>
      <w:tr>
        <w:trPr>
          <w:trHeight w:val="209"/>
        </w:trPr>
        <w:tc>
          <w:tcPr>
            <w:tcW w:w="7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6,389,809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5,569,834</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2025 and August 31, 2025, the results of the Company’s operations for the three months ended November 30, 2025 and 2024, the changes in stockholders’ equity for the three months ended November 30, 2025 and 2024 and the Company’s cash flows for the three months ended November 30, 2025 and 2024, in conformity with accounting principles generally accepted in the United States of America (U.S. GAAP).</w:t>
      </w:r>
    </w:p>
    <w:p>
      <w:pPr>
        <w:spacing w:after="0" w:line="168" w:lineRule="exact"/>
        <w:rPr>
          <w:sz w:val="20"/>
          <w:szCs w:val="20"/>
          <w:color w:val="auto"/>
        </w:rPr>
      </w:pPr>
    </w:p>
    <w:p>
      <w:pPr>
        <w:ind w:right="66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2025. These consolidated financial statements also should be read in conjunction with the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section appearing in this report.</w:t>
      </w:r>
    </w:p>
    <w:p>
      <w:pPr>
        <w:spacing w:after="0" w:line="1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November 30, 2025 are not necessarily indicative of the results that may be expected for the full fiscal year ending August 31, 2026.</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identified an immaterial prior period classification error related to the presentation of borrowings and repayments under its revolving line of credit in its consolidated statements of cash flows. For the three months ended November 30, 2024, the Company had previously presented net proceeds of $227,124 as a single line item in the consolidated statements of cash flows. In accordance with Accounting Standards Codification 230, </w:t>
      </w:r>
      <w:r>
        <w:rPr>
          <w:rFonts w:ascii="Times New Roman" w:cs="Times New Roman" w:eastAsia="Times New Roman" w:hAnsi="Times New Roman"/>
          <w:sz w:val="18"/>
          <w:szCs w:val="18"/>
          <w:i w:val="1"/>
          <w:iCs w:val="1"/>
          <w:color w:val="auto"/>
        </w:rPr>
        <w:t>Statement of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Flows</w:t>
      </w:r>
      <w:r>
        <w:rPr>
          <w:rFonts w:ascii="Times New Roman" w:cs="Times New Roman" w:eastAsia="Times New Roman" w:hAnsi="Times New Roman"/>
          <w:sz w:val="18"/>
          <w:szCs w:val="18"/>
          <w:color w:val="auto"/>
        </w:rPr>
        <w:t>, the Company has updated the prior period presentation to separately report gross borrowings of $8,400,393 and gross repayments of $8,173,269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its line of credit. This change had no impact on the Company’s total cash flows, financial position, or results of operations for the three months ended November 30, 2024.</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occurring after the date of these consolidated financial statements through the date January 8, 2026 for events requiring disclosure in these consolidated financial statements.</w:t>
      </w:r>
    </w:p>
    <w:p>
      <w:pPr>
        <w:spacing w:after="0" w:line="200" w:lineRule="exact"/>
        <w:rPr>
          <w:sz w:val="20"/>
          <w:szCs w:val="20"/>
          <w:color w:val="auto"/>
        </w:rPr>
      </w:pPr>
    </w:p>
    <w:p>
      <w:pPr>
        <w:spacing w:after="0" w:line="201" w:lineRule="exact"/>
        <w:rPr>
          <w:sz w:val="20"/>
          <w:szCs w:val="20"/>
          <w:color w:val="auto"/>
        </w:rPr>
      </w:pPr>
    </w:p>
    <w:p>
      <w:pPr>
        <w:ind w:left="600" w:hanging="592"/>
        <w:spacing w:after="0"/>
        <w:tabs>
          <w:tab w:leader="none" w:pos="6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SIGNIFICANT ACCOUNTING POLICIES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2025, there have been no new significant accounting policies from those disclosed in the Company’s annual report on Form 10-K for the fiscal year ended August 31, 2025.</w:t>
      </w:r>
    </w:p>
    <w:p>
      <w:pPr>
        <w:spacing w:after="0" w:line="200" w:lineRule="exact"/>
        <w:rPr>
          <w:sz w:val="20"/>
          <w:szCs w:val="20"/>
          <w:color w:val="auto"/>
        </w:rPr>
      </w:pPr>
    </w:p>
    <w:p>
      <w:pPr>
        <w:spacing w:after="0" w:line="201" w:lineRule="exact"/>
        <w:rPr>
          <w:sz w:val="20"/>
          <w:szCs w:val="20"/>
          <w:color w:val="auto"/>
        </w:rPr>
      </w:pPr>
    </w:p>
    <w:p>
      <w:pPr>
        <w:ind w:left="600" w:hanging="592"/>
        <w:spacing w:after="0"/>
        <w:tabs>
          <w:tab w:leader="none" w:pos="6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new guidance is expected to improve income tax disclosures primarily related to the rate reconciliation and income taxes paid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requiring 1) consistent categories and greater disaggregation of information in the rate reconciliation and 2) income taxes paid disaggregated by jurisdiction. The guidance is effective on a prospective basis, although retrospective application and early adoption is permitted. The Company is evaluating its disclosure approach for ASU 2023-09 and anticipates adopting the standard for the annual period starting September 1, 2025.</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issued ASU No.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w:t>
      </w:r>
      <w:r>
        <w:rPr>
          <w:rFonts w:ascii="Times New Roman" w:cs="Times New Roman" w:eastAsia="Times New Roman" w:hAnsi="Times New Roman"/>
          <w:sz w:val="18"/>
          <w:szCs w:val="18"/>
          <w:color w:val="auto"/>
        </w:rPr>
        <w:t>, which requires disaggregation of certain costs in a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to the financial statements, such as the amounts of employee compensation, depreciation and intangible asset amortization, included in each relevant expense caption in annual and interim consolidated financial statements. ASU 2024-03 is effective for annual periods beginning after December 15, 2026 and for interim periods beginning after December 15, 2027 on a retrospective or prospective basis, with early adoption permitted. The Company is evaluating the effect that ASU 2024-03 will have on its consolidated financial statement disclosures.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0" w:type="dxa"/>
            <w:vAlign w:val="bottom"/>
            <w:tcBorders>
              <w:bottom w:val="single" w:sz="8" w:color="CCEEFF"/>
            </w:tcBorders>
          </w:tcPr>
          <w:p>
            <w:pPr>
              <w:spacing w:after="0"/>
              <w:rPr>
                <w:sz w:val="20"/>
                <w:szCs w:val="20"/>
                <w:color w:val="auto"/>
              </w:rPr>
            </w:pPr>
          </w:p>
        </w:tc>
        <w:tc>
          <w:tcPr>
            <w:tcW w:w="7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31, 2025</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4,650,277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5,059,298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11,457,286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10,465,932</w:t>
            </w:r>
          </w:p>
        </w:tc>
        <w:tc>
          <w:tcPr>
            <w:tcW w:w="0" w:type="dxa"/>
            <w:vAlign w:val="bottom"/>
          </w:tcPr>
          <w:p>
            <w:pPr>
              <w:spacing w:after="0"/>
              <w:rPr>
                <w:sz w:val="1"/>
                <w:szCs w:val="1"/>
                <w:color w:val="auto"/>
              </w:rPr>
            </w:pPr>
          </w:p>
        </w:tc>
      </w:tr>
      <w:tr>
        <w:trPr>
          <w:trHeight w:val="209"/>
        </w:trPr>
        <w:tc>
          <w:tcPr>
            <w:tcW w:w="160" w:type="dxa"/>
            <w:vAlign w:val="bottom"/>
            <w:tcBorders>
              <w:bottom w:val="single" w:sz="8" w:color="CCEEFF"/>
            </w:tcBorders>
            <w:shd w:val="clear" w:color="auto" w:fill="CCEEFF"/>
          </w:tcPr>
          <w:p>
            <w:pPr>
              <w:spacing w:after="0"/>
              <w:rPr>
                <w:sz w:val="18"/>
                <w:szCs w:val="18"/>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16,107,563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15,525,230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60" w:type="dxa"/>
            <w:vAlign w:val="bottom"/>
            <w:vMerge w:val="continue"/>
          </w:tcPr>
          <w:p>
            <w:pPr>
              <w:spacing w:after="0"/>
              <w:rPr>
                <w:sz w:val="24"/>
                <w:szCs w:val="24"/>
                <w:color w:val="auto"/>
              </w:rPr>
            </w:pPr>
          </w:p>
        </w:tc>
        <w:tc>
          <w:tcPr>
            <w:tcW w:w="7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0" w:type="dxa"/>
            <w:vAlign w:val="bottom"/>
            <w:tcBorders>
              <w:bottom w:val="single" w:sz="8" w:color="CCEEFF"/>
            </w:tcBorders>
          </w:tcPr>
          <w:p>
            <w:pPr>
              <w:spacing w:after="0"/>
              <w:rPr>
                <w:sz w:val="20"/>
                <w:szCs w:val="20"/>
                <w:color w:val="auto"/>
              </w:rPr>
            </w:pPr>
          </w:p>
        </w:tc>
        <w:tc>
          <w:tcPr>
            <w:tcW w:w="7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2025</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1,260,312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14,663,308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14,650,361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in process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920,713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817,946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9,230,124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9,154,728</w:t>
            </w:r>
          </w:p>
        </w:tc>
        <w:tc>
          <w:tcPr>
            <w:tcW w:w="0" w:type="dxa"/>
            <w:vAlign w:val="bottom"/>
          </w:tcPr>
          <w:p>
            <w:pPr>
              <w:spacing w:after="0"/>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26,674,457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25,883,347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(10,873,528)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(10,699,429)</w:t>
            </w:r>
          </w:p>
        </w:tc>
        <w:tc>
          <w:tcPr>
            <w:tcW w:w="0" w:type="dxa"/>
            <w:vAlign w:val="bottom"/>
          </w:tcPr>
          <w:p>
            <w:pPr>
              <w:spacing w:after="0"/>
              <w:rPr>
                <w:sz w:val="1"/>
                <w:szCs w:val="1"/>
                <w:color w:val="auto"/>
              </w:rPr>
            </w:pPr>
          </w:p>
        </w:tc>
      </w:tr>
      <w:tr>
        <w:trPr>
          <w:trHeight w:val="209"/>
        </w:trPr>
        <w:tc>
          <w:tcPr>
            <w:tcW w:w="160" w:type="dxa"/>
            <w:vAlign w:val="bottom"/>
            <w:tcBorders>
              <w:bottom w:val="single" w:sz="8" w:color="CCEEFF"/>
            </w:tcBorders>
            <w:shd w:val="clear" w:color="auto" w:fill="CCEEFF"/>
          </w:tcPr>
          <w:p>
            <w:pPr>
              <w:spacing w:after="0"/>
              <w:rPr>
                <w:sz w:val="18"/>
                <w:szCs w:val="18"/>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15,800,929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15,183,918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Depreciation expense was $248,190 for the three months ended November 30, 2025, compared to $267,155 for the three months ended November 30, 2024. A portion of assets in process include capitalized software costs incurred until the capitalized software is placed in service. Once placed in service, these costs are reclassed to intangible assets, net in the consolidated balance sheet.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1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As of November 30, 2025</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7"/>
        </w:trPr>
        <w:tc>
          <w:tcPr>
            <w:tcW w:w="16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1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3,546,542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(2,996,551)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549,991</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4,089,695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3,496,252</w:t>
            </w:r>
          </w:p>
        </w:tc>
      </w:tr>
      <w:tr>
        <w:trPr>
          <w:trHeight w:val="216"/>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4,548,683</w:t>
            </w:r>
          </w:p>
        </w:tc>
      </w:tr>
      <w:tr>
        <w:trPr>
          <w:trHeight w:val="210"/>
        </w:trPr>
        <w:tc>
          <w:tcPr>
            <w:tcW w:w="16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13,983,237</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(5,388,311)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8,594,926</w:t>
            </w:r>
          </w:p>
        </w:tc>
      </w:tr>
      <w:tr>
        <w:trPr>
          <w:trHeight w:val="20"/>
        </w:trPr>
        <w:tc>
          <w:tcPr>
            <w:tcW w:w="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3"/>
        </w:trPr>
        <w:tc>
          <w:tcPr>
            <w:tcW w:w="1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 August 31, 2025</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7"/>
        </w:trPr>
        <w:tc>
          <w:tcPr>
            <w:tcW w:w="16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1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3,546,542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576,971</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4,089,695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3,596,330</w:t>
            </w:r>
          </w:p>
        </w:tc>
      </w:tr>
      <w:tr>
        <w:trPr>
          <w:trHeight w:val="216"/>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4,654,467</w:t>
            </w:r>
          </w:p>
        </w:tc>
      </w:tr>
      <w:tr>
        <w:trPr>
          <w:trHeight w:val="210"/>
        </w:trPr>
        <w:tc>
          <w:tcPr>
            <w:tcW w:w="16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13,983,237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(5,155,469)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8,827,768</w:t>
            </w:r>
          </w:p>
        </w:tc>
      </w:tr>
      <w:tr>
        <w:trPr>
          <w:trHeight w:val="20"/>
        </w:trPr>
        <w:tc>
          <w:tcPr>
            <w:tcW w:w="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Amortization expense related to intangible assets was $232,842 and $147,720 for the three months ended November 30,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 w:name="page11"/>
    <w:bookmarkEnd w:id="10"/>
    <w:p>
      <w:pPr>
        <w:ind w:right="540"/>
        <w:spacing w:after="0" w:line="282" w:lineRule="auto"/>
        <w:rPr>
          <w:sz w:val="20"/>
          <w:szCs w:val="20"/>
          <w:color w:val="auto"/>
        </w:rPr>
      </w:pPr>
      <w:r>
        <w:rPr>
          <w:rFonts w:ascii="Times New Roman" w:cs="Times New Roman" w:eastAsia="Times New Roman" w:hAnsi="Times New Roman"/>
          <w:sz w:val="18"/>
          <w:szCs w:val="18"/>
          <w:color w:val="auto"/>
        </w:rPr>
        <w:t>As of November 30, 2025, future amortization expense related to intangible assets for each of the next five fiscal years and thereafter is estimated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2026</w:t>
            </w:r>
          </w:p>
        </w:tc>
        <w:tc>
          <w:tcPr>
            <w:tcW w:w="43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636,516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834,284</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3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834,284</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Fiscal 2029</w:t>
            </w: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834,284</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2030</w:t>
            </w:r>
          </w:p>
        </w:tc>
        <w:tc>
          <w:tcPr>
            <w:tcW w:w="3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834,284</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4,621,274</w:t>
            </w:r>
          </w:p>
        </w:tc>
      </w:tr>
      <w:tr>
        <w:trPr>
          <w:trHeight w:val="249"/>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8,594,926</w:t>
            </w:r>
          </w:p>
        </w:tc>
      </w:tr>
    </w:tbl>
    <w:p>
      <w:pPr>
        <w:spacing w:after="0" w:line="200" w:lineRule="exact"/>
        <w:rPr>
          <w:sz w:val="20"/>
          <w:szCs w:val="20"/>
          <w:color w:val="auto"/>
        </w:rPr>
      </w:pPr>
    </w:p>
    <w:p>
      <w:pPr>
        <w:spacing w:after="0" w:line="237" w:lineRule="exact"/>
        <w:rPr>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ventures in Germany, Excor Korrosionsschutz – Technologien und Produkte GmbH (EXCOR), France, ACOBAL SAS (Acobal), Finland, Zerust OY and all the Company’s other joint ventures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November 30, 2025</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Acobal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6"/>
              </w:rPr>
              <w:t>Zerust OY</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62,315,846</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30,645,129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7,489,137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3,614,017</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20,567,563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71,930,748</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37,625,093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8,417,881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3,886,715</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22,001,059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12,602,929</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2,343,356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2,617,057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1,036,382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6,606,134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266,024</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266,024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59,044,410</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35,282,871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5,800,823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2,850,332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15,110,384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29,277,113</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17,641,437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2,900,410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1,425,155</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7,310,111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28,322,052</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17,610,532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2,900,410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1,405,155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6,405,955</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November 30, 2025</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Acobal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Zerust OY</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24,531,431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8,765,717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3,602,353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1,400,114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10,763,247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10,682,740</w:t>
            </w: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4,572,720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859,358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3,849,903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2,444,234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1,036,271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608,676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279,141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520,146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1,222,116</w:t>
            </w: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139,571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260,072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218,332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218,332</w:t>
            </w:r>
          </w:p>
        </w:tc>
      </w:tr>
      <w:tr>
        <w:trPr>
          <w:trHeight w:val="432"/>
        </w:trPr>
        <w:tc>
          <w:tcPr>
            <w:tcW w:w="462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 August 31, 2025</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Acobal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Zerust OY</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60,062,085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29,870,525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6,971,262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3,029,614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20,190,684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69,815,251</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36,941,008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7,900,298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3,313,909</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21,660,036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11,743,525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2,391,029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2,660,430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719,172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5,972,894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336,557</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336,557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57,735,169</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34,549,979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5,239,868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2,594,737</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15,350,585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28,611,777</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17,274,991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2,619,932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1,297,358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7,419,496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27,667,432</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17,244,086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2,619,932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1,277,358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6,526,056</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November 30, 2024</w:t>
            </w:r>
          </w:p>
        </w:tc>
      </w:tr>
      <w:tr>
        <w:trPr>
          <w:trHeight w:val="209"/>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23,837,010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8,738,814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15,098,196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10,315,283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4,757,686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5,557,597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2,259,187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1,011,687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1,129,593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505,843</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party to a Credit Agreement (as amended, the Credit Agreement) with JPMorgan Chase Bank, N.A. (JPM), which provides NTIC with a senior secured revolving line of credit (the Credit Facility) of up to $10.0 million. The Credit Facility includes a $5.0 million sublimit for standby letters of credit. Borrowings of $9,134,428 and $9,329,021 were outstanding under the Credit Facility as of November 30, 2025 and August 31, 2025, respectively. The Company was in compliance with all debt covenants as of November 30, 2025.</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17, 2025, the Company and JPM renewed the Company’s Credit Agreement to extend the maturity date of the Credit Facility from January 5, 2026 to February 5, 2027. All other material terms of the Credit Facility and the Credit Agreement remain the same. The principal amount under the Credit Facility, together with all accrued unpaid interest and other amounts owing thereunder, if any, will be payable in full on the maturity date unless the Credit Facility is extended or renewed or terminated earlier.</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2.35% applied per annum. There is no applicable margin with respect to borrowings using a CB Floating Rate. The weighted average interest rate was 6.25% and 7.07% for the three months ended November 30, 2025 and 2024, respectively.</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 in collateral made up of the assets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right="8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each of April 22, 2025 and May 29, 2025, the Company’s wholly owned subsidiary in China, NTIC China, renewed its loan agreements with China Construction Bank Corporation. Each term loan provided NTIC China with a RMB 10,000,000 (USD $1.41 million). The term loans mature in April 2026 and May 2026, respectively, unless extended. The term loan that matures in April 2026 has an annual interest rate of 2.75% with interest due monthly, and the term loan that matures in May 2026 has an annual interest rate of 2.96% with interest due monthly. Both term loans are secured by an office building owned by NTIC China and the loan agreements contain certain financial and other covenants. The Company was in compliance with the covenants as of August 31, 2025. The outstanding balance as of November 30, 2025 for both term loans is a total of USD $2,826,615. The outstanding balance as of August 31, 2025 for both term loans was a total of USD $2,804,695.</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August 30, 2025, the Company’s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6.45% per annum. The loan is secured by a lien over Natur-Tec India’s cash deposits with the Bank totaling INR 476 lakhs (USD $539,731), and the related land purchase, which was registered in November 2025. The outstanding balance as of November 30, 2025 was INR 452.6 lakhs (USD $506,461), of which INR 54.2 lakhs (USD $60,695) was classified as current and INR 398.4 lakhs (USD $445,766) as long-term. The term loan contains customary affirmative and negative covenants applicable to Natur-Tec India, including, among other matters, restrictions on incurring additional indebtedness, creating liens, or changing the nature of its business. Natur-Tec India was in compliance with all covenants as of November 30,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540" w:hanging="532"/>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October 15, 2025, the Company’s Board of Directors declared a cash dividend of $0.01 per share of the Company’s common stock, payable on November 12, 2025 to stockholders of record on October 29, 2025. On October 16, 2024, the Company’s Board of Directors declared a cash dividend of $0.07 per share of the Company’s common stock, payable on November 13, 2024 to stockholders of record on October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November 30, 2025 and 2024, the Company repurchased no shares of its common stock.</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30, 2025 and 2024, the Company issued 11,313 and no shares of common stock upon the settlement of restricted stock units, respectively.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issued 5,198 and 3,527 shares of common stock on September 1, 2025 and 2024, respectively, under the Northern Technologies International Corporation Employee Stock Purchase Plan (the ESPP). The ESPP is compensatory for financial reporting purposes. As of November 30, 2025, 42,673 shares of common stock remained available for sale under the ESPP.</w:t>
      </w:r>
    </w:p>
    <w:p>
      <w:pPr>
        <w:spacing w:after="0" w:line="200" w:lineRule="exact"/>
        <w:rPr>
          <w:sz w:val="20"/>
          <w:szCs w:val="20"/>
          <w:color w:val="auto"/>
        </w:rPr>
      </w:pPr>
    </w:p>
    <w:p>
      <w:pPr>
        <w:spacing w:after="0" w:line="215"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and the settlement of restricted stock units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months ended November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237,819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561,091</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9,480,688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9,470,507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 and settlement of restricted stock units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283,702</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9,492,694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9,754,209</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bl>
    <w:p>
      <w:pPr>
        <w:spacing w:after="0" w:line="1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and restricted stock units are included as equivalents using the treasury stock market method when computing the diluted net income per share. Excluded from the computation of diluted net income per share for the three months ended November 30, 2025 were options outstanding to purchase 2,085,086 shares of common stock. Excluded from the computation of diluted net income per share for the three months ended November 30, 2024 were options outstanding to purchase 751,153 shares of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ind w:left="620" w:hanging="612"/>
        <w:spacing w:after="0"/>
        <w:tabs>
          <w:tab w:leader="none" w:pos="6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 summary of stock option activities under the Northern Technologies International Corporation 2024 Stock Incentive Plan (2024 Plan), the Northern Technologies International Corporation Amended and Restated 2019 Stock Incentive Plan and the Northern Technologies International Corporation Amended and Restated 2007 Stock Incentive Plan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9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r>
      <w:tr>
        <w:trPr>
          <w:trHeight w:val="238"/>
        </w:trPr>
        <w:tc>
          <w:tcPr>
            <w:tcW w:w="7920" w:type="dxa"/>
            <w:vAlign w:val="bottom"/>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2025</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1,923,138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251,301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November 30, 2025</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2,174,439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20"/>
        </w:trPr>
        <w:tc>
          <w:tcPr>
            <w:tcW w:w="79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three months ended November 30, 2025 and 2024 was $3.05 and $4.95, respectively. The weighted average remaining contractual life of the options outstanding as of November 30, 2025 and 2024 was 5.98 years and 6.27 years, respectively.</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recognized stock option compensation expense of $258,181 and $304,930 during the three months ended November 30, 2025 and 2024, respectively. As of November 30, 2025, there was $1,518,441 of unrecognized stock option compensation expense. The amount is expected to be recognized over a period of 2.75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Restricted stock units (RSUs) were granted under the 2024 Plan to certain non-employee directors during the three months ended November 30, 2025 and vest in full on the one-year anniversary of the date of grant. A summary of RSU activity for the three months ended November 30, 2025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92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38"/>
        </w:trPr>
        <w:tc>
          <w:tcPr>
            <w:tcW w:w="7920" w:type="dxa"/>
            <w:vAlign w:val="bottom"/>
          </w:tcPr>
          <w:p>
            <w:pPr>
              <w:spacing w:after="0"/>
              <w:rPr>
                <w:sz w:val="20"/>
                <w:szCs w:val="20"/>
                <w:color w:val="auto"/>
              </w:rPr>
            </w:pPr>
          </w:p>
        </w:tc>
        <w:tc>
          <w:tcPr>
            <w:tcW w:w="15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2025</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vested/settled</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November 30, 2025</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39,616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w:t>
            </w:r>
          </w:p>
        </w:tc>
      </w:tr>
      <w:tr>
        <w:trPr>
          <w:trHeight w:val="20"/>
        </w:trPr>
        <w:tc>
          <w:tcPr>
            <w:tcW w:w="79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RSUs are valued using the closing stock price on the grant date. The Company recognizes the grant date fair value of the RSUs over the vesting term, or one year. The Company recognized RSU stock-based compensation expense of $52,621 and $36,960 during the three months ended November 30, 2025 and 2024, respectively. As of November 30, 2025, there was $157,793 in unrecognized stock-based compensation expense relating to outstanding RSUs, which is expected to be recognized over a period of 0.75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5" w:name="page16"/>
    <w:bookmarkEnd w:id="15"/>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general industrial, mechanical, mining, agricultural, and retail consumer markets for over 50 years and, more recently, has also expanded into the oil and gas industry. The Company also sells a portfolio of proprietary bio-based and compostable (fully biodegradable) polymer resins and finished products under the Natur-Tec® brand.</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in the Company’s annual report on Form 10-K for the fiscal year ended August 31, 2025. There are no intersegment sales and no operating segments have been aggregated.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by segment for the three months ended November 30,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09"/>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17,316,196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15,475,803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5,992,685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5,862,590</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23,308,881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by segment for the three months ended November 30,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4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10,151,261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8,678,706</w:t>
            </w: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3,992,659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3,689,183</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781,335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807,551</w:t>
            </w:r>
          </w:p>
        </w:tc>
      </w:tr>
      <w:tr>
        <w:trPr>
          <w:trHeight w:val="250"/>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4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14,925,255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13,175,440</w:t>
            </w:r>
          </w:p>
        </w:tc>
      </w:tr>
      <w:tr>
        <w:trPr>
          <w:trHeight w:val="413"/>
        </w:trPr>
        <w:tc>
          <w:tcPr>
            <w:tcW w:w="3920" w:type="dxa"/>
            <w:vAlign w:val="bottom"/>
            <w:tcBorders>
              <w:top w:val="single" w:sz="8" w:color="CCEEFF"/>
            </w:tcBorders>
          </w:tcPr>
          <w:p>
            <w:pPr>
              <w:spacing w:after="0"/>
              <w:rPr>
                <w:sz w:val="24"/>
                <w:szCs w:val="24"/>
                <w:color w:val="auto"/>
              </w:rPr>
            </w:pPr>
          </w:p>
        </w:tc>
        <w:tc>
          <w:tcPr>
            <w:tcW w:w="408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 sets forth the Company’s gross profit by segment for the three months ended November 30,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09"/>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7,164,935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6,797,097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Natur-Tec® gross profit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2,173,407</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gross profit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9,164,961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8,970,504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(781,335)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(807,551)</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8,383,626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8,162,953</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2,291,373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2,413,712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(4,267,654)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(3,858,943)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(1,343,397)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25,567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(120,220)</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770,908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1,012,018</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utilizes product net sales, direct and indirect cost of goods sold, and gross profit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 The CODM uses gross profit and considers budget-to-actual variances on a quarterly basis when making decisions about the allocation of operating and capital resources to each segment. The CODM also uses segment gross profit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 Asset information, including capital expenditures are reviewed by the CODM at the consolidated entity level and not by segment. Refer to total assets on the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months ended November 30, 2025 and 2024, respectively,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10"/>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 to unaffiliated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7,456,767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13,088,319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 to:</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421,695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767,456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15,430,419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7,482,618</w:t>
            </w:r>
          </w:p>
        </w:tc>
      </w:tr>
      <w:tr>
        <w:trPr>
          <w:trHeight w:val="210"/>
        </w:trPr>
        <w:tc>
          <w:tcPr>
            <w:tcW w:w="8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23,308,881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 No single customer accounted for more than 10% of consolidated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right="4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months ended November 30, 2025 and 2024, respectively,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1260" w:type="dxa"/>
            <w:vAlign w:val="bottom"/>
            <w:tcBorders>
              <w:bottom w:val="single" w:sz="8" w:color="auto"/>
            </w:tcBorders>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Provided</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to Joint</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214,302</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220,010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131,460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133,650</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148,538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111,058</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94,165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108,522</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116,226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66,928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72,631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206,329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44,989</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67,701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70,687</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160,132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50"/>
        </w:trPr>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1,069,257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1,284,119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additional details on geographical information regarding equity in income from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which are based on the geographical location of the customer,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5,355,509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5,355,918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1,939,926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1,296,988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8,505,494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8,531,012</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15,800,929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15,183,918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10"/>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4,934,938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3,994,769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2,126,170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1,385,194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5,464,811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6,045,735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2,904,499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2,430,077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7,878,463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7,482,618</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23,308,881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2025,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10"/>
        </w:trPr>
        <w:tc>
          <w:tcPr>
            <w:tcW w:w="44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120,220</w:t>
            </w:r>
          </w:p>
        </w:tc>
      </w:tr>
    </w:tbl>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November 30, 2025 was $265,029 compared to $217,871 for the three months ended November 30, 2024. The expense was largely due to foreign operations. The Company has federal and state tax credit carry forwards, net operating loss carry forwards and foreign tax carry forwards. The Company has recorded a full valuation allowance against the U.S. deferred tax assets as of November 30, 2025 and August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general industrial, mechanical, mining, agricultural,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industries it serves. NTIC also offers worldwide, on-site, technical consulting for rust and corrosion prevention issues. In North America, NTIC sells its ZERUST® corrosion prevention solutions through a network of independent distributors and agents supported by a direct sales force.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 owned subsidiary in China, NTIC (Shanghai) Co., Ltd. (NTIC China), its wholly owned subsidiary in India, HNTI Limited (Zerust India), its wholly owned subsidiary in the United Arab Emirates, Zerust Integrity Solutions Trading LLC (ZIS UAE), its majority-owned joint venture holding company for NTIC’s joint venture investments in the Association of Southeast Asian Nations (ASEAN) region, NTI Asean LLC (NTI Asean), its majority-owned subsidiary in Brazil, Zerust Provenção de Corrosão S.A. (Zerust Brazil), and certain majority-owned and wholly owned subsidiaries, and joint venture arrangements in North America, Europe, and Asia. NTIC also sells products directly to its European joint venture partners through its wholly owned subsidiary in Germany, NTIC Europe GmbH (NTI Europe).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During the three months ended November 30, 2025, NTIC continued to make strategic investments in its ZERUST® oil and gas sales infrastructure specifically to support ZIS UAE.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(US$13.1 million). This includes approximately R$40 million (US$7.5 million) in materials and approximately R$30 million (US$5.6 million) in engineering and field services. The amount and timing of revenue anticipated to be generated under this agreement may materially and positively affect NTIC’s future quarterly sales and other operating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We recently entered into a preferred supplier agreement with the nation’s leading specialized distributor for a foodservice and industrial packaging company, which we expect to translate into higher Natur-Tec® sales growth in fiscal 2026 compared to fiscal 2025.</w:t>
      </w:r>
    </w:p>
    <w:p>
      <w:pPr>
        <w:spacing w:after="0" w:line="1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 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months ended November 30, 2025 include the following, with increases or decreases in each case as compared to the prior fiscal year quarterly period:</w:t>
      </w:r>
    </w:p>
    <w:p>
      <w:pPr>
        <w:spacing w:after="0" w:line="162" w:lineRule="exact"/>
        <w:rPr>
          <w:sz w:val="20"/>
          <w:szCs w:val="20"/>
          <w:color w:val="auto"/>
        </w:rPr>
      </w:pPr>
    </w:p>
    <w:p>
      <w:pPr>
        <w:ind w:left="660" w:right="24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9.2% primarily due to increased sales and demand for ZERUST® and Natur-Tec® products. 74.3% of NTIC’s consolidated net sales were derived from sales of ZERUST® products and services, which increased 11.9%. 25.7% of NTIC’s consolidated net sales were derived from sales of Natur-Tec® products, which increased 2.2%.</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increased to 64.0% from 61.7% primarily due to slightly higher raw material prices and discounts on selling prices.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income from joint venture operations decreased 5.1% to $2,291,373 in the three months ended November 30, 2025, compared to $2,413,712 during the three months ended November 30, 2024 primarily due to a slight increase in operating expenses at the joint ventures. Net sales at NTIC’s joint ventures, which are not consolidated with NTIC’s net sales, increased 2.9% to $24,531,431 in the three months ended November 30, 2025, compared to $23,837,010 during the three months ended November 30, 2024.</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1" w:name="page22"/>
    <w:bookmarkEnd w:id="21"/>
    <w:p>
      <w:pPr>
        <w:ind w:left="660" w:right="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2.9% to $9,741,367 during the three months ended November 30, 2025 compared to $9,469,994 for the three months ended November 30, 2024. This small increase was primarily due to strategic investments in ZERUST® oil and gas marketing and sales efforts, including personnel expenses and the corresponding benefits, as well as increased travel and professional fees.</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earned net income attributable to NTIC of $237,819, or $0.03 per diluted common share, for the three months ended November 30, 2025 compared to $561,091, or $0.06 per diluted common share, for the three months ended November 30, 2024.</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three months ended November 30, 2025, NTIC incurred additional costs related to tariffs and expects such costs to continue throughout fiscal 2026. Management has implemented, and expects to continue to implement, proactive measures to mitigate inflationary and supply chain pressures resulting from tariffs through a combination of supplier diversification, regional sourcing initiatives, cost-reduction programs, and manufacturing optimization. Management continues to monitor global trade developments and evaluate opportunities to further reduce its exposure to tariffs by localizing production and developing alternative sourcing options where practicable. With respect to NTIC China, a majority of its production and sales are for local consumption. Accordingly, management believes that NTIC China’s exposure to tariffs, including those imposed by the United States, is limited. However, given the complex and evolving nature of global trade policy, there can be no assurance that tariffs or other trade restrictions will not adversely affect NTIC’s net sales, gross margins, or operating results in future periods. Tariffs have had a particular impact on NTIC’s Natur-Tec® business, which relies on the global procurement of raw materials and finished goods. These factors may affect production economics, customer pricing, and competitive positioning, particularly in markets where NTIC competes with local producers not subject to comparable tariff exposure.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months ended November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8"/>
          </w:tcPr>
          <w:p>
            <w:pPr>
              <w:ind w:left="122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23,308,881</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   $</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1,970,488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14,925,255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13,175,440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1,749,815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1,222,116</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1,129,593</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92,523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1,069,257</w:t>
            </w:r>
          </w:p>
        </w:tc>
        <w:tc>
          <w:tcPr>
            <w:tcW w:w="120" w:type="dxa"/>
            <w:vAlign w:val="bottom"/>
          </w:tcPr>
          <w:p>
            <w:pPr>
              <w:spacing w:after="0"/>
              <w:rPr>
                <w:sz w:val="20"/>
                <w:szCs w:val="20"/>
                <w:color w:val="auto"/>
              </w:rPr>
            </w:pPr>
          </w:p>
        </w:tc>
        <w:tc>
          <w:tcPr>
            <w:tcW w:w="15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1,284,119</w:t>
            </w:r>
          </w:p>
        </w:tc>
        <w:tc>
          <w:tcPr>
            <w:tcW w:w="120" w:type="dxa"/>
            <w:vAlign w:val="bottom"/>
          </w:tcPr>
          <w:p>
            <w:pPr>
              <w:spacing w:after="0"/>
              <w:rPr>
                <w:sz w:val="20"/>
                <w:szCs w:val="20"/>
                <w:color w:val="auto"/>
              </w:rPr>
            </w:pPr>
          </w:p>
        </w:tc>
        <w:tc>
          <w:tcPr>
            <w:tcW w:w="1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(214,862)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4,371,502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4,267,654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103,848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4,148,953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3,858,943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290,010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1,220,912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1,343,397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96"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9.2% to $23,308,881 during the three months ended November 30, 2025 compared to $21,338,393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November 30, 2024. This increase was primarily due to increased sales and demand for ZERUST® and Natur-Tec® products.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months ended November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114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17,316,196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15,475,803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1,840,393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5,992,685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5,862,590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130,095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23,308,881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1,970,488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2025, 74.3% of NTIC’s consolidated net sales were derived from sales of ZERUST® products and services, which increased 11.9% to $17,316,196 during the three months ended November 30, 2025 compared to $15,475,803 during the three months ended November 30, 2024. This increase was primarily due to increased demand for ZERUST® oil and gas products and ZERUST® industrial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months ended November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6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jc w:val="center"/>
              <w:ind w:right="3690"/>
              <w:spacing w:after="0"/>
              <w:rPr>
                <w:sz w:val="20"/>
                <w:szCs w:val="20"/>
                <w:color w:val="auto"/>
              </w:rPr>
            </w:pPr>
            <w:r>
              <w:rPr>
                <w:rFonts w:ascii="Times New Roman" w:cs="Times New Roman" w:eastAsia="Times New Roman" w:hAnsi="Times New Roman"/>
                <w:sz w:val="18"/>
                <w:szCs w:val="18"/>
                <w:color w:val="auto"/>
                <w:w w:val="99"/>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14,922,518</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13,962,252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960,266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98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ZERUST® oil &amp; gas net sales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2,393,678</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1,513,551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880,127</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09"/>
        </w:trPr>
        <w:tc>
          <w:tcPr>
            <w:tcW w:w="5980" w:type="dxa"/>
            <w:vAlign w:val="bottom"/>
            <w:shd w:val="clear" w:color="auto" w:fill="CCEEFF"/>
          </w:tcPr>
          <w:p>
            <w:pPr>
              <w:jc w:val="center"/>
              <w:ind w:right="3650"/>
              <w:spacing w:after="0"/>
              <w:rPr>
                <w:sz w:val="20"/>
                <w:szCs w:val="20"/>
                <w:color w:val="auto"/>
              </w:rPr>
            </w:pPr>
            <w:r>
              <w:rPr>
                <w:rFonts w:ascii="Times New Roman" w:cs="Times New Roman" w:eastAsia="Times New Roman" w:hAnsi="Times New Roman"/>
                <w:sz w:val="18"/>
                <w:szCs w:val="18"/>
                <w:color w:val="auto"/>
                <w:w w:val="98"/>
              </w:rPr>
              <w:t>Total ZERUST®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17,316,196</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15,475,803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1,840,393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ZERUST® industrial net sales increased during the three months ended November 30, 2025, compared to the same prior fiscal year period, primarily due to increased demand for North American ZERUST® industrial products. Overall, demand for ZERUST® products and services depends heavily on the overall health of the markets in which NTIC sells its products, including the automotive, construction, agriculture, and mining markets in particular.</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ZERUST® oil and gas net sales increased 58.1% during the three months ended November 30, 2025 compared to the same period last fiscal year primarily due to increased demand, primarily in Brazil. NTIC anticipates that its sales of ZERUST® products and services into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 For example,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(US$13.1 million). This includes approximately R$40 million (US$7.5 million) in materials and approximately R$30 million (US$5.6 million) in engineering and field services. The amount and timing of revenue anticipated to be generated under this agreement may materially and positively affect NTIC’s future quarterly sales and other operating results.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months ended November 30, 2025, 25.7% of NTIC’s consolidated net sales were derived from sales of Natur-Tec® products, compared to 27.5% during the three months ended November 30, 2024. Sales of Natur-Tec® products increased 2.2% to $5,992,685 during the three months ended November 30, 2025 compared to $5,862,590 during the three months ended November 30, 2024 due to timing differences in sales specifically to customers in India.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13.3% for the three months ended November 30, 2025 compared to the three months ended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primarily due to the increase in sales and slightly higher raw material prices. Cost of goods sold as a percentage of net sales increased to 64.0% for the three months ended November 30, 2025 compared to 61.7% for the three months ended November 30, 2024 due primarily to the factors noted above.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increased 8.2% to $1,222,116 during the three months ended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compared to $1,129,593 during the three months ended November 30, 2024 primarily due to a modification of the fees for services plans due to tax planning in the first quarter of fiscal 2026 for two joint ventures which resulted in a decrease in fees for services and an increase in equity in income for both entities. This was partially offset by a decrease in net income at NTIC’s joint venture in Germany, EXCOR. NTIC’s equity in income from joint ventures fluctuates based on net sales and profitability of the joint ventures during the respective periods. Additionally, of the total equity in income from joint ventures, NTIC had equity in income from joint ventures of $518,135 attributable to EXCOR during the three months ended November 30, 2025 compared to $623,750 attributable to EXCOR during the three months ended November 30, 2024. This decrease was due to a decrease in net sales by EXCOR during the three months ended November 30, 2025 compared to the three months ended November 30, 2024. NTIC had equity in income from all other joint ventures of $703,981 during the three months ended November 30, 2025, compared to $505,843 during the three months ended November 30, 2024.</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$1,069,257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2025 compared to $1,284,119 during the three months ended November 30, 2024, representing a decrease of 16.7% primarily due to a modification of the fees for services plans due to tax planning in the first quarter of fiscal 2026 for two joint ventures which resulted in a decrease in fees for services and an increase in equity in income for both entities. Fee income for services provided to joint ventures is traditionally a function of the sales made by NTIC’s joint ventures; however, at various joint ventures, the fee income for services is a fixed amount that does not fluctuate with the change in sales experienced by certain joint ventures during the three months ended November 30, 2024, specifically EXCOR. Net sales at the joint ventures increased to $24,531,431 during the three months ended November 30, 2025 compared to $23,837,010 for the three months ended November 30, 2024, representing an increase of 2.9%. This increase was primarily due to increases in demand for products at most joint ventures, partially offset by continued decreased demand at NTIC’s joint venture in Germany. Net sales of NTIC’s joint ventures are not included in NTIC’s product sales and are not included in NTIC’s consolidated financial statements. Of the total fee income for services provided to joint ventures, fees of $74,081 were attributable to EXCOR during the three months ended November 30, 2025 compared to $206,329 attributable to EXCOR during the three months ended November 30, 2024, only one month of fees for services was recorded prior to modifying the agreement for tax purposes.</w:t>
      </w:r>
    </w:p>
    <w:p>
      <w:pPr>
        <w:spacing w:after="0" w:line="19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2.4% for the three months ended November 30, 2025 compared to the same period in fiscal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personnel expense during the current fiscal year period compared to the same prior fiscal year period. Selling expenses as a percentage of net sales decreased to 18.8% for the three months ended November 30, 2025 compared to 20.0% during the three months ended November 30, 2024 primarily due to increased net sales, partially offset by increased selling expenses.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7.5% for the three months ended November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2025 primarily due to increased professional services and travel and personnel expenses, which relate in part to increased information technology infrastructure, during the current fiscal year period compared to the same prior fiscal year period. As a percentage of net sales, general and administrative expenses decreased to 17.8% for the three months ended November 30, 2025 from 18.1% for the three months ended November 30, 2024 primarily due to increased net sales, partially offset by increased general and administrative expenses.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4" w:name="page25"/>
    <w:bookmarkEnd w:id="24"/>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decreased 9.1% for the three months ended November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2025 primarily due to the transition of expenses from research and development to selling expenses.</w:t>
      </w:r>
    </w:p>
    <w:p>
      <w:pPr>
        <w:spacing w:after="0" w:line="158"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$37,242 during the three months ended November 30, 2025 compared to $25,567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2024 primarily due to changes in the invested cash balances and rate of return at various subsidiaries.</w:t>
      </w:r>
    </w:p>
    <w:p>
      <w:pPr>
        <w:spacing w:after="0" w:line="15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$199,966 during the three months ended November 30, 2025 compared to $120,220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2024 primarily due to increased outstanding average borrowings during the current fiscal year period.</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$770,908 for the three months ended November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before income tax expense of $1,012,018 for the three months ended November 30, 2024.</w:t>
      </w:r>
    </w:p>
    <w:p>
      <w:pPr>
        <w:spacing w:after="0" w:line="15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$265,029 during the three months ended November 30, 2025 compared to $217,871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2024. Income tax expense was calculated based on management’s estimate of NTIC’s annual effective income tax rate.</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$28,322,052 and $27,667,432 as of November 30, 2025 and August 31, 2025,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decreased to $237,819, or $0.03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2025 compared to $561,091, or $0.06 per diluted common share, for the three months ended November 30, 2024. This decrease was primarily due to the increase in operating expenses and an increase in interest expense and decreases in joint venture operating income, partially offset by the increase in gross profit, in each case in the current fiscal year period compared to the prior fiscal year period.</w:t>
      </w:r>
    </w:p>
    <w:p>
      <w:pPr>
        <w:spacing w:after="0" w:line="18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months ended November 30, 2025 compared to the same period in fiscal 2025.</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$19,441,186 as of November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$6,389,809 in cash and cash equivalents, $9,134,428 outstanding under NTIC’s line of credit and $2,887,310 of outstanding term loans, current, compared to $20,438,722 as of August 31, 2025, including $7,250,523 in cash and cash equivalents, $9,329,021 outstanding under NTIC’s line of credit, and $2,860,256 of outstanding term loans, current. Reducing debt through positive operating cash flow and improving working capital efficiencies is a strategic focus for fiscal 2026.</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2026,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NTIC also expects to use some of its capital resources to acquire the remaining ownership interests of joint ventures not owned by NTIC as they become available or appropriate and for the formation of one or more new subsidiaries to assume the operations of a joint venture. Some of these joint venture transitions may materially impact NTIC’s results of operations for a particular reporting period.</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Agreement with JPMorgan Chase Bank, N.A. </w:t>
      </w:r>
      <w:r>
        <w:rPr>
          <w:rFonts w:ascii="Times New Roman" w:cs="Times New Roman" w:eastAsia="Times New Roman" w:hAnsi="Times New Roman"/>
          <w:sz w:val="18"/>
          <w:szCs w:val="18"/>
          <w:color w:val="auto"/>
        </w:rPr>
        <w:t>NTIC is party to a Credit Agreement (as amended, the Credit Agreement) with JPMorgan Chase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 (JPM), which provides NTIC with a senior secured revolving line of credit (the Credit Facility) of up to $10.0 million. The Credit Facility includes a $5.0 million sublimit for standby letters of credit.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Borrowings of $9,134,428 were outstanding under the Credit Facility as of November 30, 2025. The Company was in compliance with all covenants under the Credit Agreement as of November 30, 2025.</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17, 2025, the Company and JPM renewed the Company’s Credit Agreement to extend the maturity date of the Credit Facility from January 5, 2026 to February 5, 2027. All other material terms of the Credit Facility and the Credit Agreement remain the same. The principal amount under the Credit Facility, together with all accrued unpaid interest and other amounts owing thereunder, if any, will be payable in full on the maturity date unless the Credit Facility is extended or renewed or terminated earlier.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6" w:name="page27"/>
    <w:bookmarkEnd w:id="26"/>
    <w:p>
      <w:pPr>
        <w:ind w:right="14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The weighted average interest rate was 6.25% and 7.07% for the three months ended November 30, 2025 and 2024.</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secure the Credit Agreement, NTIC assigned to JPM a continuing security interest in all of its right, title and interest in collateral made up of the assets of NTIC.</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Credit Arrangements. </w:t>
      </w:r>
      <w:r>
        <w:rPr>
          <w:rFonts w:ascii="Times New Roman" w:cs="Times New Roman" w:eastAsia="Times New Roman" w:hAnsi="Times New Roman"/>
          <w:sz w:val="18"/>
          <w:szCs w:val="18"/>
          <w:color w:val="auto"/>
        </w:rPr>
        <w:t>On each of April 22, 2025 and May 29, 2025, NTIC’s wholly owned subsidiary in China, NTIC China, entered into a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China Construction Bank Corporation. Each term loan provided NTIC China with a RMB 10,000,000 (USD $1.41 million). The term loans mature in April 2026 and May 2026, respectively, unless extended. It is anticipated that each term loan will be extended for an additional one-year period. The term loan that matures in April 2026 has an annual interest rate of 2.75% with interest due monthly, and the term loan that matures in May 2026 has an annual interest rate of 2.96% with interest due monthly. Both term loans are secured by an office building owned by NTIC China and the loan agreements contain certain financial and other covenants. NTIC was in compliance with the covenants as of November 30, 2025. The outstanding balance as of November 30, 2025 for both term loans is a total of USD $2,826,615.</w:t>
      </w:r>
    </w:p>
    <w:p>
      <w:pPr>
        <w:spacing w:after="0" w:line="18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August 30, 2025, NTIC’s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6.45% per annum. The loan is secured by a lien over Natur-Tec India’s cash deposits with the Bank totaling INR 476 lakhs (USD $539,731), and the related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 purchase is expected to be registered in late November 2025. The outstanding balance as of November 30, 2025 was INR 452.6 lakhs (USD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$506,461), of which INR 54.2 lakhs (USD $60,695) was classified as current and INR 398.4 lakhs (USD $445,766) as long-term. The term loan contains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affirmative and negative covenants applicable to Natur-Tec India, including, among other matters, restrictions on incurring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creating liens, or changing the nature of its business. Natur-Tec India was in compliance with all covenants as of November 30,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Uses of Cash and Cash Flow</w:t>
      </w:r>
      <w:r>
        <w:rPr>
          <w:rFonts w:ascii="Times New Roman" w:cs="Times New Roman" w:eastAsia="Times New Roman" w:hAnsi="Times New Roman"/>
          <w:sz w:val="18"/>
          <w:szCs w:val="18"/>
          <w:color w:val="auto"/>
        </w:rPr>
        <w:t>. Net cash provided by operating activities during the three months ended November 30, 2025 was $341,908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NTIC’s net income, an increase in accounts payable, dividends received from joint ventures, depreciation and amortization expense, and stock-based compensation, and was partially offset by equity in income from joint ventures, and decreases in accounts receivable, income taxes, inventory and prepaid expenses. Net cash provided by operating activities during the three months ended November 30, 2024 was $2,395,066, which resulted principally from decreases in trade receivables and technical fee receivables, NTIC’s net income, increases in accounts payable, depreciation and amortization expense, and stock-based compensation, and was partially offset by equity in income from joint ventures and increases in inventory and prepaid expenses.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NTIC experienced a decrease in trade receivables and an increase in inventory as of November 30, 2025 compared to August 31, 2025. Trade receivables as of November 30, 2025 decreased $241,153 compared to August 31, 2025, primarily related to timing differences of sales and collections.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Outstanding trade receivables increased by an average of 2 days to an average of 78 days from balances outstanding from these customers as of November 30, 2025 from an average of 76 days as of August 31, 2025.</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November 30, 2025 decreased $44,067 compared to August 31, 2025, and the average days to pay increased an average of 15 days to an average of 88 days from an average of 73 days as of August 31, 2025.</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November 30, 2025 was $821,624, which was primarily the result of the purchases of property and equipment. Net cash used in investing activities for the three months ended November 30, 2024 was $1,258,336, which was primarily the result of the purchases of property and equipment, and investments in patents.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November 30, 2025 was $383,751, which resulted from repayments under the line of credit, dividends paid to shareholders, and dividends received by non-controlling interests, partially offset by borrowings under the line of credit and proceeds from NTIC’s employee stock purchase plan. Net cash used in financing activities for the three months ended November 30, 2024 was $393,341, which resulted from dividends paid to shareholders, partially offset by borrowings under the line of credit and proceeds from NTIC’s employee stock purchase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8" w:name="page29"/>
    <w:bookmarkEnd w:id="28"/>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As of November 30, 2025, up to $2,640,548 in shares of NTIC common stock remained available for repurchase under NTIC’s stock repurchase program. No repurchases occurred during the three months ended November 30, 2025.</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On October 15, 2025, the Company’s Board of Directors declared a cash dividend of $0.01 per share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on November 12, 2025 to stockholders of record on October 29, 2025. On October 16, 2024, the Company’s Board of Directors declared a cash dividend of $0.07 per share of the Company’s common stock, payable on November 13, 2024 to stockholders of record on October 30, 2024. The declaration of future dividends is not guaranteed and will be determined by NTIC’s Board of Directors in light of conditions then existing, including NTIC’s earnings, financial condition, cash requirements, restrictions in financial agreements, business conductions and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$821,624 on capital expenditures during the three months ended November 30, 2025, which related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to investments in land at a planned new facility for Natur Tec India in Chenai, India. NTIC expects to spend an aggregate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 to $2,500,000 on capital expenditures during fiscal 2026, which it expects will relate primarily to construction of new buildings and warehouses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India and Brazil, as well as the purchase of new equipment and facility improvements in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Inflation in the United States and abroad historically has had minimal effect on NTIC and did not adversely affect NTIC’s gross margins during the first quarter of fiscal 2026. NTIC believes there is some seasonality in its business. NTIC anticipates its net sales in the second fiscal quarter may be adversely affected by the long Chinese New Year, the North American holiday season and overall less corrosion taking place at lower winter temperatures worldwide.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9" w:name="page30"/>
    <w:bookmarkEnd w:id="29"/>
    <w:p>
      <w:pPr>
        <w:ind w:right="340"/>
        <w:spacing w:after="0" w:line="312" w:lineRule="auto"/>
        <w:rPr>
          <w:sz w:val="20"/>
          <w:szCs w:val="20"/>
          <w:color w:val="auto"/>
        </w:rPr>
      </w:pPr>
      <w:r>
        <w:rPr>
          <w:rFonts w:ascii="Times New Roman" w:cs="Times New Roman" w:eastAsia="Times New Roman" w:hAnsi="Times New Roman"/>
          <w:sz w:val="17"/>
          <w:szCs w:val="17"/>
          <w:color w:val="auto"/>
        </w:rPr>
        <w:t>Any outstanding advances under NTIC’s Credit Facility with JPM bear interest at a floating rate, at the option of NTIC, equal to either the CB Floating Rate or the Adjusted SOFR Rate, as defined above. Borrowings of $9,134,428 were outstanding under the Credit Facility as of November 30,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term loans undertaken by NTIC China with China Construction Bank Corporation have an annual interest rate of 3.25% with interest due monthly.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outstanding balance as of November 30, 2025 for both term loans is a total of USD $2,826,615.</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Foreign Currency Term Loan taken out with IDFC FIRST Bank Limited (the Bank) has an interest at a fixed rate of 6.45% per annum. The current outstanding balance as of November 30, 2025 was INR 452.6 lakhs (USD $506,461).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ind w:left="320" w:hanging="319"/>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trade regulation, quotas, duties, or tariffs, caused by the changing U.S. and geopolitical environments or otherwise;</w:t>
      </w:r>
    </w:p>
    <w:p>
      <w:pPr>
        <w:spacing w:after="0" w:line="225" w:lineRule="exact"/>
        <w:rPr>
          <w:rFonts w:ascii="Times New Roman" w:cs="Times New Roman" w:eastAsia="Times New Roman" w:hAnsi="Times New Roman"/>
          <w:sz w:val="18"/>
          <w:szCs w:val="18"/>
          <w:color w:val="auto"/>
        </w:rPr>
      </w:pPr>
    </w:p>
    <w:p>
      <w:pPr>
        <w:ind w:left="320" w:right="360" w:hanging="319"/>
        <w:spacing w:after="0" w:line="261"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including in particular in the United States, Europe, India and China, and in the automotive industry, and the effect of inflation, recessionary indicators and any turmoil and disruption in the global credit, financial and banking markets or the perception of adverse conditions on NTIC’s business and the business of NTIC’s customers, suppliers, vendors and other third parties with whom NTIC conducts business;</w:t>
      </w:r>
    </w:p>
    <w:p>
      <w:pPr>
        <w:spacing w:after="0" w:line="179" w:lineRule="exact"/>
        <w:rPr>
          <w:rFonts w:ascii="Times New Roman" w:cs="Times New Roman" w:eastAsia="Times New Roman" w:hAnsi="Times New Roman"/>
          <w:sz w:val="18"/>
          <w:szCs w:val="18"/>
          <w:color w:val="auto"/>
        </w:rPr>
      </w:pPr>
    </w:p>
    <w:p>
      <w:pPr>
        <w:ind w:left="320" w:right="160" w:hanging="319"/>
        <w:spacing w:after="0" w:line="28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slowdowns within the automotive industry and decreased exports of automotive products resulting from tariffs between the U.S. and both Mexico and Canada on NTIC’s business and the evolution of the automotive industry towards electric vehicles;</w:t>
      </w:r>
    </w:p>
    <w:p>
      <w:pPr>
        <w:spacing w:after="0" w:line="161"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chains on NTIC’s business, operating results and financial condition;</w:t>
      </w:r>
    </w:p>
    <w:p>
      <w:pPr>
        <w:spacing w:after="0" w:line="225" w:lineRule="exact"/>
        <w:rPr>
          <w:rFonts w:ascii="Times New Roman" w:cs="Times New Roman" w:eastAsia="Times New Roman" w:hAnsi="Times New Roman"/>
          <w:sz w:val="18"/>
          <w:szCs w:val="18"/>
          <w:color w:val="auto"/>
        </w:rPr>
      </w:pPr>
    </w:p>
    <w:p>
      <w:pPr>
        <w:ind w:left="320" w:right="20" w:hanging="319"/>
        <w:spacing w:after="0" w:line="28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disruptions to distribution channels for NTIC’s products and disruptions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jc w:val="both"/>
        <w:ind w:left="320" w:right="40" w:hanging="319"/>
        <w:spacing w:after="0" w:line="266"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war between Russia and Ukraine and sanctions against Russia by U.S. and European governments on energy prices, which have adversely affected our joint venture sales, and on commodity price fluctuations, which have decreased our margins and the margins of our joint ventures and resulted in decreased joint venture profitability, which will likely continue through the end of fiscal 2026;</w:t>
      </w:r>
    </w:p>
    <w:p>
      <w:pPr>
        <w:spacing w:after="0" w:line="175" w:lineRule="exact"/>
        <w:rPr>
          <w:rFonts w:ascii="Times New Roman" w:cs="Times New Roman" w:eastAsia="Times New Roman" w:hAnsi="Times New Roman"/>
          <w:sz w:val="18"/>
          <w:szCs w:val="18"/>
          <w:color w:val="auto"/>
        </w:rPr>
      </w:pPr>
    </w:p>
    <w:p>
      <w:pPr>
        <w:ind w:left="320" w:right="60" w:hanging="319"/>
        <w:spacing w:after="0" w:line="28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including trade or other issues that may result from increasing tensions between the U.S. and China, including the implementation of higher tariffs;</w:t>
      </w:r>
    </w:p>
    <w:p>
      <w:pPr>
        <w:spacing w:after="0" w:line="161" w:lineRule="exact"/>
        <w:rPr>
          <w:rFonts w:ascii="Times New Roman" w:cs="Times New Roman" w:eastAsia="Times New Roman" w:hAnsi="Times New Roman"/>
          <w:sz w:val="18"/>
          <w:szCs w:val="18"/>
          <w:color w:val="auto"/>
        </w:rPr>
      </w:pPr>
    </w:p>
    <w:p>
      <w:pPr>
        <w:jc w:val="both"/>
        <w:ind w:left="320" w:right="40" w:hanging="319"/>
        <w:spacing w:after="0" w:line="312"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39" w:lineRule="exact"/>
        <w:rPr>
          <w:rFonts w:ascii="Times New Roman" w:cs="Times New Roman" w:eastAsia="Times New Roman" w:hAnsi="Times New Roman"/>
          <w:sz w:val="17"/>
          <w:szCs w:val="17"/>
          <w:color w:val="auto"/>
        </w:rPr>
      </w:pPr>
    </w:p>
    <w:p>
      <w:pPr>
        <w:ind w:left="320" w:hanging="319"/>
        <w:spacing w:after="0" w:line="28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0" w:right="80" w:hanging="319"/>
        <w:spacing w:after="0" w:line="28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61" w:lineRule="exact"/>
        <w:rPr>
          <w:rFonts w:ascii="Times New Roman" w:cs="Times New Roman" w:eastAsia="Times New Roman" w:hAnsi="Times New Roman"/>
          <w:sz w:val="18"/>
          <w:szCs w:val="18"/>
          <w:color w:val="auto"/>
        </w:rPr>
      </w:pPr>
    </w:p>
    <w:p>
      <w:pPr>
        <w:ind w:left="320" w:right="440" w:hanging="319"/>
        <w:spacing w:after="0" w:line="28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due to higher demand and freight costs, supply chain disruptions and the impact of government sanctions;</w:t>
      </w:r>
    </w:p>
    <w:p>
      <w:pPr>
        <w:spacing w:after="0" w:line="161" w:lineRule="exact"/>
        <w:rPr>
          <w:rFonts w:ascii="Times New Roman" w:cs="Times New Roman" w:eastAsia="Times New Roman" w:hAnsi="Times New Roman"/>
          <w:sz w:val="18"/>
          <w:szCs w:val="18"/>
          <w:color w:val="auto"/>
        </w:rPr>
      </w:pPr>
    </w:p>
    <w:p>
      <w:pPr>
        <w:ind w:left="320" w:right="20" w:hanging="319"/>
        <w:spacing w:after="0" w:line="266"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40" w:top="580" w:right="379" w:bottom="1440" w:gutter="0" w:footer="0" w:header="0"/>
        </w:sectPr>
      </w:pPr>
    </w:p>
    <w:bookmarkStart w:id="31" w:name="page32"/>
    <w:bookmarkEnd w:id="31"/>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0" w:right="160" w:hanging="319"/>
        <w:spacing w:after="0" w:line="28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320" w:right="80" w:hanging="319"/>
        <w:spacing w:after="0" w:line="28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320" w:right="300" w:hanging="319"/>
        <w:spacing w:after="0" w:line="28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or lack thereof of rules and regulations favorable to the market for biodegradable plastics and the Trump administration’s reversal of certain policies related to the market for biodegradable plastics;</w:t>
      </w:r>
    </w:p>
    <w:p>
      <w:pPr>
        <w:spacing w:after="0" w:line="161"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320" w:right="100" w:hanging="319"/>
        <w:spacing w:after="0" w:line="28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ongoing war between Russia and Ukraine and the conflicts in the Middle East;</w:t>
      </w:r>
    </w:p>
    <w:p>
      <w:pPr>
        <w:spacing w:after="0" w:line="161" w:lineRule="exact"/>
        <w:rPr>
          <w:rFonts w:ascii="Times New Roman" w:cs="Times New Roman" w:eastAsia="Times New Roman" w:hAnsi="Times New Roman"/>
          <w:sz w:val="18"/>
          <w:szCs w:val="18"/>
          <w:color w:val="auto"/>
        </w:rPr>
      </w:pPr>
    </w:p>
    <w:p>
      <w:pPr>
        <w:ind w:left="320" w:right="60" w:hanging="319"/>
        <w:spacing w:after="0" w:line="28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Brazil’s ability to perform and realize revenue and other benefits under its three-year offshore oil and gas production asset preservation contract with a global engineering, procurement, and construction company;</w:t>
      </w:r>
    </w:p>
    <w:p>
      <w:pPr>
        <w:spacing w:after="0" w:line="161" w:lineRule="exact"/>
        <w:rPr>
          <w:rFonts w:ascii="Times New Roman" w:cs="Times New Roman" w:eastAsia="Times New Roman" w:hAnsi="Times New Roman"/>
          <w:sz w:val="18"/>
          <w:szCs w:val="18"/>
          <w:color w:val="auto"/>
        </w:rPr>
      </w:pPr>
    </w:p>
    <w:p>
      <w:pPr>
        <w:ind w:left="320" w:right="140" w:hanging="319"/>
        <w:spacing w:after="0" w:line="28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320" w:hanging="319"/>
        <w:spacing w:after="0" w:line="266"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advancements in artificial intelligence (AI) technologies, which may disrupt our industry at an accelerated pace and adversely affect our competitive position, customer expectations, and operational performance if we fail to adapt or implement AI innovations effectively or if competitors leverage AI more effectively or quickly;</w:t>
      </w:r>
    </w:p>
    <w:p>
      <w:pPr>
        <w:spacing w:after="0" w:line="175" w:lineRule="exact"/>
        <w:rPr>
          <w:rFonts w:ascii="Times New Roman" w:cs="Times New Roman" w:eastAsia="Times New Roman" w:hAnsi="Times New Roman"/>
          <w:sz w:val="18"/>
          <w:szCs w:val="18"/>
          <w:color w:val="auto"/>
        </w:rPr>
      </w:pPr>
    </w:p>
    <w:p>
      <w:pPr>
        <w:ind w:left="320" w:right="400" w:hanging="319"/>
        <w:spacing w:after="0" w:line="28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1"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840" w:top="580" w:right="459" w:bottom="1440" w:gutter="0" w:footer="0" w:header="0"/>
        </w:sectPr>
      </w:pPr>
    </w:p>
    <w:bookmarkStart w:id="32" w:name="page33"/>
    <w:bookmarkEnd w:id="32"/>
    <w:p>
      <w:pPr>
        <w:ind w:left="840" w:hanging="319"/>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840" w:right="260" w:hanging="319"/>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 and risks associated with its recent implementation of a new Enterprise Resource Planning system.</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2025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tariffs,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tariff environment is complex and evolving. NTIC’s business incurred in the three months ended November 30, 2025, and expects to continue to incur throughout fiscal 2026, additional costs as it relates to tariffs. NTIC has taken and will continue to take action to mitigate inflationary pressures caused by tariffs through a combination of targeted price increases, supplier diversification and other strategic sourcing adjustments, cost reductions, and manufacturing optimization. With respect to NTIC China, specifically, the majority of NTIC China’s production and sales are for local consumption; and therefore, NTIC believes NTIC China’s exposure to tariffs, included those imposed by the United States is limited.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 w:name="page34"/>
    <w:bookmarkEnd w:id="33"/>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respect to interest rate risk,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The weighted average interest rate was 6.25% for the three months ended November 30, 2025. Borrowings of $9,134,428 were outstanding under the Credit Facility as of November 30, 2025. The two term loans undertaken by NTIC China with China Construction Bank Corporation have annual interest rates of 2.75% and 2.96%, respectively, with interest due monthly. The outstanding balance as of November 30, 2025 for both term loans is a total of USD $2,826,615. In addition, the foreign currency term loan entered into by Natur-Tec India with IDFC FIRST Bank Limited bears interest at a fixed rate of 6.45% per annum. The outstanding balance as of November 30, 2025 for this term loan is USD $506,461.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November 30, 2025 that has materially affected or is reasonably likely to materially affect NTIC’s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13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30, 2025,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first quarter of fiscal 2025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that May Yet</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2025 through September 30, 2025</w:t>
            </w: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2025 through October 31, 2025</w:t>
            </w: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2025 through November 30, 2025</w:t>
            </w: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9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jc w:val="right"/>
              <w:ind w:right="5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(1)(2)</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98" w:lineRule="exact"/>
        <w:rPr>
          <w:sz w:val="20"/>
          <w:szCs w:val="20"/>
          <w:color w:val="auto"/>
        </w:rPr>
      </w:pPr>
    </w:p>
    <w:p>
      <w:pPr>
        <w:jc w:val="both"/>
        <w:ind w:left="240" w:right="140" w:hanging="232"/>
        <w:spacing w:after="0" w:line="266"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5" w:lineRule="exact"/>
        <w:rPr>
          <w:rFonts w:ascii="Times New Roman" w:cs="Times New Roman" w:eastAsia="Times New Roman" w:hAnsi="Times New Roman"/>
          <w:sz w:val="18"/>
          <w:szCs w:val="18"/>
          <w:color w:val="auto"/>
        </w:rPr>
      </w:pPr>
    </w:p>
    <w:p>
      <w:pPr>
        <w:ind w:left="240" w:right="600" w:hanging="232"/>
        <w:spacing w:after="0" w:line="282"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30, 2025, up to $2,640,548 in shares of NTIC common stock remained available for repurchase under NTIC’s stock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30, 2025, none of our directors or “officers” (as defined in Rule 16a-1(f) under the Exchange Act) adopted or terminated a “Rule 10b5-1 trading arrangement” or “non-Rule 10b5-1 trading arrangement,” as each term is defined in Item 408 of SEC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60" w:right="680" w:hanging="831"/>
        <w:spacing w:after="0" w:line="282"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SEC Rule 13a-14(a), as adopted pursuant to Section 302 of the Sarbanes-Oxley Act of 2002 (filed herewith)</w:t>
      </w:r>
    </w:p>
    <w:p>
      <w:pPr>
        <w:spacing w:after="0" w:line="162"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 Rule 13a-14(a), as adopted pursuant to Section 302 of the Sarbanes-Oxley Act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2002 (filed herewith)</w:t>
      </w:r>
    </w:p>
    <w:p>
      <w:pPr>
        <w:spacing w:after="0" w:line="207" w:lineRule="exact"/>
        <w:rPr>
          <w:sz w:val="20"/>
          <w:szCs w:val="20"/>
          <w:color w:val="auto"/>
        </w:rPr>
      </w:pPr>
    </w:p>
    <w:p>
      <w:pPr>
        <w:ind w:left="1260" w:right="440" w:hanging="831"/>
        <w:spacing w:after="0" w:line="282"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18 U.S.C. Section 1350, as adopted pursuant to Section 906 of the Sarbanes-Oxley Act of 2002 (furnished herewith)</w:t>
      </w:r>
    </w:p>
    <w:p>
      <w:pPr>
        <w:spacing w:after="0" w:line="162" w:lineRule="exact"/>
        <w:rPr>
          <w:sz w:val="20"/>
          <w:szCs w:val="20"/>
          <w:color w:val="auto"/>
        </w:rPr>
      </w:pPr>
    </w:p>
    <w:p>
      <w:pPr>
        <w:ind w:left="1260" w:hanging="831"/>
        <w:spacing w:after="0" w:line="282"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 (furnished herewith)</w:t>
      </w:r>
    </w:p>
    <w:p>
      <w:pPr>
        <w:spacing w:after="0" w:line="162" w:lineRule="exact"/>
        <w:rPr>
          <w:sz w:val="20"/>
          <w:szCs w:val="20"/>
          <w:color w:val="auto"/>
        </w:rPr>
      </w:pPr>
    </w:p>
    <w:p>
      <w:pPr>
        <w:ind w:left="1260" w:right="20" w:hanging="820"/>
        <w:spacing w:after="0" w:line="281" w:lineRule="auto"/>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NTIC’s Quarterly Report on Form 10-Q for the fiscal quarter ended November 30, 2025, formatted in Inline XBRL (Extensible Business Reporting Language): (i) the unaudited Consolidated Balance Sheets, (ii) the unaudited Consolidated Statements of Operations, (iii) the unaudited Consolidated Statements of Comprehensive Loss, (iv) the unaudited Consolidated Statements of Equity, (v) the unaudited Consolidated Statements of Cash Flows, and (vi) Notes to Consolidated Financial Statements (filed herewith)</w:t>
      </w:r>
    </w:p>
    <w:p>
      <w:pPr>
        <w:spacing w:after="0" w:line="164" w:lineRule="exact"/>
        <w:rPr>
          <w:sz w:val="20"/>
          <w:szCs w:val="20"/>
          <w:color w:val="auto"/>
        </w:rPr>
      </w:pPr>
    </w:p>
    <w:p>
      <w:pPr>
        <w:ind w:left="1260" w:hanging="82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6" w:name="page37"/>
    <w:bookmarkEnd w:id="3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494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right="3560" w:hanging="5628"/>
        <w:spacing w:after="0" w:line="273" w:lineRule="auto"/>
        <w:tabs>
          <w:tab w:leader="none" w:pos="5620" w:val="left"/>
        </w:tabs>
        <w:rPr>
          <w:sz w:val="20"/>
          <w:szCs w:val="20"/>
          <w:color w:val="auto"/>
        </w:rPr>
      </w:pPr>
      <w:r>
        <w:rPr>
          <w:rFonts w:ascii="Times New Roman" w:cs="Times New Roman" w:eastAsia="Times New Roman" w:hAnsi="Times New Roman"/>
          <w:sz w:val="18"/>
          <w:szCs w:val="18"/>
          <w:color w:val="auto"/>
        </w:rPr>
        <w:t>Date: January 8, 2026</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60"/>
          </w:cols>
          <w:pgMar w:left="320" w:top="576" w:right="4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20" w:right="220" w:hanging="488"/>
        <w:spacing w:after="0" w:line="266" w:lineRule="auto"/>
        <w:tabs>
          <w:tab w:leader="none" w:pos="8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488"/>
        <w:spacing w:after="0" w:line="266" w:lineRule="auto"/>
        <w:tabs>
          <w:tab w:leader="none" w:pos="8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20" w:right="700" w:hanging="488"/>
        <w:spacing w:after="0" w:line="312" w:lineRule="auto"/>
        <w:tabs>
          <w:tab w:leader="none" w:pos="8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00" w:hanging="488"/>
        <w:spacing w:after="0" w:line="266" w:lineRule="auto"/>
        <w:tabs>
          <w:tab w:leader="none" w:pos="8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right="120" w:hanging="488"/>
        <w:spacing w:after="0" w:line="282" w:lineRule="auto"/>
        <w:tabs>
          <w:tab w:leader="none" w:pos="8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80" w:hanging="488"/>
        <w:spacing w:after="0" w:line="282" w:lineRule="auto"/>
        <w:tabs>
          <w:tab w:leader="none" w:pos="8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2026</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218"/>
        </w:trPr>
        <w:tc>
          <w:tcPr>
            <w:tcW w:w="56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20" w:right="220" w:hanging="488"/>
        <w:spacing w:after="0" w:line="266" w:lineRule="auto"/>
        <w:tabs>
          <w:tab w:leader="none" w:pos="8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488"/>
        <w:spacing w:after="0" w:line="266" w:lineRule="auto"/>
        <w:tabs>
          <w:tab w:leader="none" w:pos="8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20" w:right="700" w:hanging="488"/>
        <w:spacing w:after="0" w:line="312" w:lineRule="auto"/>
        <w:tabs>
          <w:tab w:leader="none" w:pos="8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00" w:hanging="488"/>
        <w:spacing w:after="0" w:line="266" w:lineRule="auto"/>
        <w:tabs>
          <w:tab w:leader="none" w:pos="8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right="120" w:hanging="488"/>
        <w:spacing w:after="0" w:line="282" w:lineRule="auto"/>
        <w:tabs>
          <w:tab w:leader="none" w:pos="8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80" w:hanging="488"/>
        <w:spacing w:after="0" w:line="282" w:lineRule="auto"/>
        <w:tabs>
          <w:tab w:leader="none" w:pos="8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2026</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r>
      <w:tr>
        <w:trPr>
          <w:trHeight w:val="218"/>
        </w:trPr>
        <w:tc>
          <w:tcPr>
            <w:tcW w:w="56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November 30, 2025,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820" w:hanging="488"/>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418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418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2026</w:t>
      </w:r>
    </w:p>
    <w:p>
      <w:pPr>
        <w:sectPr>
          <w:pgSz w:w="11900" w:h="16838" w:orient="portrait"/>
          <w:cols w:equalWidth="0" w:num="1">
            <w:col w:w="11240"/>
          </w:cols>
          <w:pgMar w:left="320" w:top="117"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November 30, 2025,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107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107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decimal"/>
      <w:start w:val="13"/>
    </w:lvl>
  </w:abstractNum>
  <w:abstractNum w:abstractNumId="13">
    <w:nsid w:val="62BBD95A"/>
    <w:multiLevelType w:val="hybridMultilevel"/>
    <w:lvl w:ilvl="0">
      <w:lvlJc w:val="left"/>
      <w:lvlText w:val="%1."/>
      <w:numFmt w:val="decimal"/>
      <w:start w:val="15"/>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2026-01-08T07:28:11Z</dcterms:created>
  <dcterms:modified xsi:type="dcterms:W3CDTF">2026-01-08T07:28:11Z</dcterms:modified>
</cp:coreProperties>
</file>