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4040" w:right="2240" w:hanging="4032"/>
        <w:spacing w:after="0" w:line="495"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5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tcPr>
          <w:p>
            <w:pPr>
              <w:spacing w:after="0"/>
              <w:rPr>
                <w:sz w:val="17"/>
                <w:szCs w:val="17"/>
                <w:color w:val="auto"/>
              </w:rPr>
            </w:pPr>
          </w:p>
        </w:tc>
        <w:tc>
          <w:tcPr>
            <w:tcW w:w="448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000" w:type="dxa"/>
            <w:vAlign w:val="bottom"/>
            <w:gridSpan w:val="2"/>
          </w:tcPr>
          <w:p>
            <w:pPr>
              <w:jc w:val="center"/>
              <w:ind w:left="5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760" w:type="dxa"/>
            <w:vAlign w:val="bottom"/>
          </w:tcPr>
          <w:p>
            <w:pPr>
              <w:spacing w:after="0"/>
              <w:rPr>
                <w:sz w:val="20"/>
                <w:szCs w:val="20"/>
                <w:color w:val="auto"/>
              </w:rPr>
            </w:pPr>
          </w:p>
        </w:tc>
        <w:tc>
          <w:tcPr>
            <w:tcW w:w="4480" w:type="dxa"/>
            <w:vAlign w:val="bottom"/>
            <w:gridSpan w:val="2"/>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0"/>
              </w:rPr>
              <w:t>4201 Woodland Road</w:t>
            </w:r>
          </w:p>
        </w:tc>
        <w:tc>
          <w:tcPr>
            <w:tcW w:w="1760" w:type="dxa"/>
            <w:vAlign w:val="bottom"/>
          </w:tcPr>
          <w:p>
            <w:pPr>
              <w:spacing w:after="0"/>
              <w:rPr>
                <w:sz w:val="24"/>
                <w:szCs w:val="24"/>
                <w:color w:val="auto"/>
              </w:rPr>
            </w:pPr>
          </w:p>
        </w:tc>
        <w:tc>
          <w:tcPr>
            <w:tcW w:w="448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55014</w:t>
            </w:r>
          </w:p>
        </w:tc>
      </w:tr>
      <w:tr>
        <w:trPr>
          <w:trHeight w:val="216"/>
        </w:trPr>
        <w:tc>
          <w:tcPr>
            <w:tcW w:w="500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P.O. Box 69</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40" w:type="dxa"/>
            <w:vAlign w:val="bottom"/>
          </w:tcPr>
          <w:p>
            <w:pPr>
              <w:jc w:val="center"/>
              <w:ind w:right="1890"/>
              <w:spacing w:after="0"/>
              <w:rPr>
                <w:sz w:val="20"/>
                <w:szCs w:val="20"/>
                <w:color w:val="auto"/>
              </w:rPr>
            </w:pPr>
            <w:r>
              <w:rPr>
                <w:rFonts w:ascii="Arial" w:cs="Arial" w:eastAsia="Arial" w:hAnsi="Arial"/>
                <w:sz w:val="18"/>
                <w:szCs w:val="18"/>
                <w:color w:val="auto"/>
                <w:w w:val="91"/>
              </w:rPr>
              <w:t>(Zip Code)</w:t>
            </w:r>
          </w:p>
        </w:tc>
      </w:tr>
      <w:tr>
        <w:trPr>
          <w:trHeight w:val="220"/>
        </w:trPr>
        <w:tc>
          <w:tcPr>
            <w:tcW w:w="500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0"/>
              </w:rPr>
              <w:t>Circle Pines, Minnesota</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30"/>
        </w:trPr>
        <w:tc>
          <w:tcPr>
            <w:tcW w:w="5000" w:type="dxa"/>
            <w:vAlign w:val="bottom"/>
            <w:gridSpan w:val="2"/>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3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(763) 225-6600</w:t>
            </w: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49"/>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1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70"/>
              <w:spacing w:after="0" w:line="189" w:lineRule="exact"/>
              <w:rPr>
                <w:sz w:val="20"/>
                <w:szCs w:val="20"/>
                <w:color w:val="auto"/>
              </w:rPr>
            </w:pPr>
            <w:r>
              <w:rPr>
                <w:rFonts w:ascii="Arial" w:cs="Arial" w:eastAsia="Arial" w:hAnsi="Arial"/>
                <w:sz w:val="18"/>
                <w:szCs w:val="18"/>
                <w:color w:val="auto"/>
                <w:w w:val="92"/>
              </w:rPr>
              <w:t>Trading Symbol(s)</w:t>
            </w:r>
          </w:p>
        </w:tc>
        <w:tc>
          <w:tcPr>
            <w:tcW w:w="84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8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$0.02 per share</w:t>
            </w: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90"/>
              <w:spacing w:after="0" w:line="193" w:lineRule="exact"/>
              <w:rPr>
                <w:sz w:val="20"/>
                <w:szCs w:val="20"/>
                <w:color w:val="auto"/>
              </w:rPr>
            </w:pPr>
            <w:r>
              <w:rPr>
                <w:rFonts w:ascii="Arial" w:cs="Arial" w:eastAsia="Arial" w:hAnsi="Arial"/>
                <w:sz w:val="18"/>
                <w:szCs w:val="18"/>
                <w:color w:val="auto"/>
                <w:w w:val="99"/>
              </w:rPr>
              <w:t>NTIC</w:t>
            </w:r>
          </w:p>
        </w:tc>
        <w:tc>
          <w:tcPr>
            <w:tcW w:w="84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79" w:right="339" w:bottom="0" w:gutter="0" w:footer="0" w:header="0"/>
        </w:sectPr>
      </w:pPr>
    </w:p>
    <w:p>
      <w:pPr>
        <w:spacing w:after="0" w:line="151" w:lineRule="exact"/>
        <w:rPr>
          <w:sz w:val="24"/>
          <w:szCs w:val="24"/>
          <w:color w:val="auto"/>
        </w:rPr>
      </w:pPr>
    </w:p>
    <w:p>
      <w:pPr>
        <w:ind w:left="4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2300" w:space="620"/>
            <w:col w:w="1920" w:space="720"/>
            <w:col w:w="2460" w:space="720"/>
            <w:col w:w="2500"/>
          </w:cols>
          <w:pgMar w:left="320" w:top="679" w:right="339" w:bottom="0" w:gutter="0" w:footer="0" w:header="0"/>
          <w:type w:val="continuous"/>
        </w:sectPr>
      </w:pPr>
    </w:p>
    <w:p>
      <w:pPr>
        <w:ind w:left="2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79" w:right="339" w:bottom="0" w:gutter="0" w:footer="0" w:header="0"/>
          <w:type w:val="continuous"/>
        </w:sectPr>
      </w:pPr>
    </w:p>
    <w:p>
      <w:pPr>
        <w:spacing w:after="0" w:line="214"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26, 2021 (the last business day of the registrant’s second fiscal quarter) as reported by the Nasdaq Global Market on that date was approximately $123.0 million.</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15, 2021, 9,187,446 shares of common stock of the registrant were outstanding.</w:t>
      </w:r>
    </w:p>
    <w:p>
      <w:pPr>
        <w:sectPr>
          <w:pgSz w:w="11900" w:h="16838" w:orient="portrait"/>
          <w:cols w:equalWidth="0" w:num="1">
            <w:col w:w="11240"/>
          </w:cols>
          <w:pgMar w:left="320" w:top="679"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2022 Annual Meeting of Stockholders to be held January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60" w:type="dxa"/>
            <w:vAlign w:val="bottom"/>
            <w:gridSpan w:val="18"/>
          </w:tcPr>
          <w:p>
            <w:pPr>
              <w:jc w:val="center"/>
              <w:ind w:right="154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80" w:type="dxa"/>
            <w:vAlign w:val="bottom"/>
            <w:gridSpan w:val="13"/>
          </w:tcPr>
          <w:p>
            <w:pPr>
              <w:jc w:val="center"/>
              <w:ind w:right="310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4"/>
          </w:tcPr>
          <w:p>
            <w:pPr>
              <w:jc w:val="center"/>
              <w:ind w:right="2900"/>
              <w:spacing w:after="0"/>
              <w:rPr>
                <w:sz w:val="20"/>
                <w:szCs w:val="20"/>
                <w:color w:val="auto"/>
              </w:rPr>
            </w:pPr>
            <w:r>
              <w:rPr>
                <w:rFonts w:ascii="Arial" w:cs="Arial" w:eastAsia="Arial" w:hAnsi="Arial"/>
                <w:sz w:val="18"/>
                <w:szCs w:val="18"/>
                <w:b w:val="1"/>
                <w:bCs w:val="1"/>
                <w:color w:val="auto"/>
                <w:w w:val="97"/>
              </w:rPr>
              <w:t>FISCAL YEAR ENDED AUGUST 31, 2021</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top w:val="single" w:sz="8" w:color="auto"/>
            </w:tcBorders>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INFORMATION ABOUT OUR EXECUTIVE OFFICERS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top w:val="single" w:sz="8" w:color="0000EE"/>
            </w:tcBorders>
            <w:gridSpan w:val="3"/>
          </w:tcPr>
          <w:p>
            <w:pPr>
              <w:jc w:val="right"/>
              <w:ind w:right="20"/>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Item</w:t>
              </w:r>
            </w:hyperlink>
          </w:p>
        </w:tc>
        <w:tc>
          <w:tcPr>
            <w:tcW w:w="240" w:type="dxa"/>
            <w:vAlign w:val="bottom"/>
            <w:tcBorders>
              <w:top w:val="single" w:sz="8" w:color="0000EE"/>
            </w:tcBorders>
            <w:gridSpan w:val="2"/>
          </w:tcPr>
          <w:p>
            <w:pPr>
              <w:ind w:left="20"/>
              <w:spacing w:after="0"/>
              <w:rPr>
                <w:rFonts w:ascii="Arial" w:cs="Arial" w:eastAsia="Arial" w:hAnsi="Arial"/>
                <w:sz w:val="17"/>
                <w:szCs w:val="17"/>
                <w:color w:val="0000EE"/>
                <w:w w:val="70"/>
              </w:rPr>
            </w:pPr>
            <w:hyperlink w:anchor="page21">
              <w:r>
                <w:rPr>
                  <w:rFonts w:ascii="Arial" w:cs="Arial" w:eastAsia="Arial" w:hAnsi="Arial"/>
                  <w:sz w:val="17"/>
                  <w:szCs w:val="17"/>
                  <w:color w:val="0000EE"/>
                  <w:w w:val="70"/>
                </w:rPr>
                <w:t>1A.</w:t>
              </w:r>
            </w:hyperlink>
          </w:p>
        </w:tc>
        <w:tc>
          <w:tcPr>
            <w:tcW w:w="220" w:type="dxa"/>
            <w:vAlign w:val="bottom"/>
            <w:tcBorders>
              <w:top w:val="single" w:sz="8" w:color="0000EE"/>
            </w:tcBorders>
          </w:tcPr>
          <w:p>
            <w:pPr>
              <w:spacing w:after="0"/>
              <w:rPr>
                <w:sz w:val="17"/>
                <w:szCs w:val="17"/>
                <w:color w:val="auto"/>
              </w:rPr>
            </w:pPr>
          </w:p>
        </w:tc>
        <w:tc>
          <w:tcPr>
            <w:tcW w:w="3460" w:type="dxa"/>
            <w:vAlign w:val="bottom"/>
            <w:tcBorders>
              <w:top w:val="single" w:sz="8" w:color="0000EE"/>
            </w:tcBorders>
            <w:gridSpan w:val="12"/>
          </w:tcPr>
          <w:p>
            <w:pPr>
              <w:ind w:left="18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620" w:type="dxa"/>
            <w:vAlign w:val="bottom"/>
            <w:gridSpan w:val="11"/>
          </w:tcPr>
          <w:p>
            <w:pPr>
              <w:spacing w:after="0"/>
              <w:rPr>
                <w:sz w:val="17"/>
                <w:szCs w:val="17"/>
                <w:color w:val="auto"/>
              </w:rPr>
            </w:pPr>
          </w:p>
        </w:tc>
        <w:tc>
          <w:tcPr>
            <w:tcW w:w="8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40">
              <w:r>
                <w:rPr>
                  <w:rFonts w:ascii="Arial" w:cs="Arial" w:eastAsia="Arial" w:hAnsi="Arial"/>
                  <w:sz w:val="17"/>
                  <w:szCs w:val="17"/>
                  <w:color w:val="0000EE"/>
                  <w:w w:val="70"/>
                </w:rPr>
                <w:t>1B.</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PART II</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vMerge w:val="restart"/>
          </w:tcPr>
          <w:p>
            <w:pPr>
              <w:ind w:left="180"/>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80" w:type="dxa"/>
            <w:vAlign w:val="bottom"/>
            <w:gridSpan w:val="23"/>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vMerge w:val="restart"/>
          </w:tcPr>
          <w:p>
            <w:pPr>
              <w:jc w:val="right"/>
              <w:ind w:right="20"/>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w:t>
              </w:r>
            </w:hyperlink>
          </w:p>
        </w:tc>
        <w:tc>
          <w:tcPr>
            <w:tcW w:w="160" w:type="dxa"/>
            <w:vAlign w:val="bottom"/>
            <w:vMerge w:val="restart"/>
          </w:tcPr>
          <w:p>
            <w:pPr>
              <w:ind w:left="2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vMerge w:val="continue"/>
          </w:tcPr>
          <w:p>
            <w:pPr>
              <w:spacing w:after="0"/>
              <w:rPr>
                <w:sz w:val="17"/>
                <w:szCs w:val="17"/>
                <w:color w:val="auto"/>
              </w:rPr>
            </w:pPr>
          </w:p>
        </w:tc>
        <w:tc>
          <w:tcPr>
            <w:tcW w:w="1020" w:type="dxa"/>
            <w:vAlign w:val="bottom"/>
            <w:gridSpan w:val="4"/>
            <w:vMerge w:val="restart"/>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restart"/>
          </w:tcPr>
          <w:p>
            <w:pPr>
              <w:ind w:left="18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PURCHASES OF EQUITY SECURITIES</w:t>
              </w:r>
            </w:hyperlink>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[RESERVED]</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vMerge w:val="restart"/>
          </w:tcPr>
          <w:p>
            <w:pPr>
              <w:jc w:val="right"/>
              <w:ind w:right="20"/>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Item</w:t>
              </w:r>
            </w:hyperlink>
          </w:p>
        </w:tc>
        <w:tc>
          <w:tcPr>
            <w:tcW w:w="160" w:type="dxa"/>
            <w:vAlign w:val="bottom"/>
            <w:vMerge w:val="restart"/>
          </w:tcPr>
          <w:p>
            <w:pPr>
              <w:ind w:left="2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w:t>
              </w:r>
            </w:hyperlink>
          </w:p>
        </w:tc>
        <w:tc>
          <w:tcPr>
            <w:tcW w:w="1020" w:type="dxa"/>
            <w:vAlign w:val="bottom"/>
            <w:gridSpan w:val="4"/>
            <w:vMerge w:val="restart"/>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restart"/>
          </w:tcPr>
          <w:p>
            <w:pPr>
              <w:ind w:left="18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OPERATIONS</w:t>
              </w:r>
            </w:hyperlink>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58">
              <w:r>
                <w:rPr>
                  <w:rFonts w:ascii="Arial" w:cs="Arial" w:eastAsia="Arial" w:hAnsi="Arial"/>
                  <w:sz w:val="17"/>
                  <w:szCs w:val="17"/>
                  <w:color w:val="0000EE"/>
                  <w:w w:val="70"/>
                </w:rPr>
                <w:t>7A.</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vMerge w:val="restart"/>
          </w:tcPr>
          <w:p>
            <w:pPr>
              <w:jc w:val="right"/>
              <w:ind w:right="20"/>
              <w:spacing w:after="0"/>
              <w:rPr>
                <w:rFonts w:ascii="Arial" w:cs="Arial" w:eastAsia="Arial" w:hAnsi="Arial"/>
                <w:sz w:val="18"/>
                <w:szCs w:val="18"/>
                <w:color w:val="0000EE"/>
                <w:w w:val="85"/>
              </w:rPr>
            </w:pPr>
            <w:hyperlink w:anchor="page85">
              <w:r>
                <w:rPr>
                  <w:rFonts w:ascii="Arial" w:cs="Arial" w:eastAsia="Arial" w:hAnsi="Arial"/>
                  <w:sz w:val="18"/>
                  <w:szCs w:val="18"/>
                  <w:color w:val="0000EE"/>
                  <w:w w:val="85"/>
                </w:rPr>
                <w:t>Item</w:t>
              </w:r>
            </w:hyperlink>
          </w:p>
        </w:tc>
        <w:tc>
          <w:tcPr>
            <w:tcW w:w="160" w:type="dxa"/>
            <w:vAlign w:val="bottom"/>
            <w:vMerge w:val="restart"/>
          </w:tcPr>
          <w:p>
            <w:pPr>
              <w:ind w:left="2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w:t>
              </w:r>
            </w:hyperlink>
          </w:p>
        </w:tc>
        <w:tc>
          <w:tcPr>
            <w:tcW w:w="1020" w:type="dxa"/>
            <w:vAlign w:val="bottom"/>
            <w:gridSpan w:val="4"/>
            <w:vMerge w:val="restart"/>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restart"/>
          </w:tcPr>
          <w:p>
            <w:pPr>
              <w:ind w:left="18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DISCLOSURE</w:t>
              </w:r>
            </w:hyperlink>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85">
              <w:r>
                <w:rPr>
                  <w:rFonts w:ascii="Arial" w:cs="Arial" w:eastAsia="Arial" w:hAnsi="Arial"/>
                  <w:sz w:val="17"/>
                  <w:szCs w:val="17"/>
                  <w:color w:val="0000EE"/>
                  <w:w w:val="70"/>
                </w:rPr>
                <w:t>9A.</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6">
              <w:r>
                <w:rPr>
                  <w:rFonts w:ascii="Arial" w:cs="Arial" w:eastAsia="Arial" w:hAnsi="Arial"/>
                  <w:sz w:val="18"/>
                  <w:szCs w:val="18"/>
                  <w:color w:val="0000EE"/>
                  <w:w w:val="85"/>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86">
              <w:r>
                <w:rPr>
                  <w:rFonts w:ascii="Arial" w:cs="Arial" w:eastAsia="Arial" w:hAnsi="Arial"/>
                  <w:sz w:val="17"/>
                  <w:szCs w:val="17"/>
                  <w:color w:val="0000EE"/>
                  <w:w w:val="70"/>
                </w:rPr>
                <w:t>9B.</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6">
              <w:r>
                <w:rPr>
                  <w:rFonts w:ascii="Arial" w:cs="Arial" w:eastAsia="Arial" w:hAnsi="Arial"/>
                  <w:sz w:val="18"/>
                  <w:szCs w:val="18"/>
                  <w:color w:val="0000EE"/>
                  <w:w w:val="85"/>
                </w:rPr>
                <w:t>Item</w:t>
              </w:r>
            </w:hyperlink>
          </w:p>
        </w:tc>
        <w:tc>
          <w:tcPr>
            <w:tcW w:w="460" w:type="dxa"/>
            <w:vAlign w:val="bottom"/>
            <w:gridSpan w:val="3"/>
          </w:tcPr>
          <w:p>
            <w:pPr>
              <w:ind w:left="2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9C.</w:t>
              </w:r>
            </w:hyperlink>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DISCLOSURE REGARDING FOREIGN JURISDICTIONS THAT PREVENT INSPECTIONS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4"/>
          </w:tcPr>
          <w:p>
            <w:pPr>
              <w:jc w:val="right"/>
              <w:ind w:right="20"/>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PART III</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87">
              <w:r>
                <w:rPr>
                  <w:rFonts w:ascii="Arial" w:cs="Arial" w:eastAsia="Arial" w:hAnsi="Arial"/>
                  <w:sz w:val="18"/>
                  <w:szCs w:val="18"/>
                  <w:color w:val="0000EE"/>
                  <w:w w:val="71"/>
                </w:rPr>
                <w:t>10.</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87">
              <w:r>
                <w:rPr>
                  <w:rFonts w:ascii="Arial" w:cs="Arial" w:eastAsia="Arial" w:hAnsi="Arial"/>
                  <w:sz w:val="18"/>
                  <w:szCs w:val="18"/>
                  <w:color w:val="0000EE"/>
                  <w:w w:val="71"/>
                </w:rPr>
                <w:t>11.</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vMerge w:val="restart"/>
          </w:tcPr>
          <w:p>
            <w:pPr>
              <w:jc w:val="right"/>
              <w:ind w:right="20"/>
              <w:spacing w:after="0"/>
              <w:rPr>
                <w:rFonts w:ascii="Arial" w:cs="Arial" w:eastAsia="Arial" w:hAnsi="Arial"/>
                <w:sz w:val="18"/>
                <w:szCs w:val="18"/>
                <w:color w:val="0000EE"/>
                <w:w w:val="85"/>
              </w:rPr>
            </w:pPr>
            <w:hyperlink w:anchor="page87">
              <w:r>
                <w:rPr>
                  <w:rFonts w:ascii="Arial" w:cs="Arial" w:eastAsia="Arial" w:hAnsi="Arial"/>
                  <w:sz w:val="18"/>
                  <w:szCs w:val="18"/>
                  <w:color w:val="0000EE"/>
                  <w:w w:val="85"/>
                </w:rPr>
                <w:t>Item</w:t>
              </w:r>
            </w:hyperlink>
          </w:p>
        </w:tc>
        <w:tc>
          <w:tcPr>
            <w:tcW w:w="240" w:type="dxa"/>
            <w:vAlign w:val="bottom"/>
            <w:gridSpan w:val="2"/>
            <w:vMerge w:val="restart"/>
          </w:tcPr>
          <w:p>
            <w:pPr>
              <w:ind w:left="20"/>
              <w:spacing w:after="0"/>
              <w:rPr>
                <w:rFonts w:ascii="Arial" w:cs="Arial" w:eastAsia="Arial" w:hAnsi="Arial"/>
                <w:sz w:val="18"/>
                <w:szCs w:val="18"/>
                <w:color w:val="0000EE"/>
                <w:w w:val="71"/>
              </w:rPr>
            </w:pPr>
            <w:hyperlink w:anchor="page87">
              <w:r>
                <w:rPr>
                  <w:rFonts w:ascii="Arial" w:cs="Arial" w:eastAsia="Arial" w:hAnsi="Arial"/>
                  <w:sz w:val="18"/>
                  <w:szCs w:val="18"/>
                  <w:color w:val="0000EE"/>
                  <w:w w:val="71"/>
                </w:rPr>
                <w:t>12.</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w:t>
              </w:r>
            </w:hyperlink>
          </w:p>
        </w:tc>
        <w:tc>
          <w:tcPr>
            <w:tcW w:w="1020" w:type="dxa"/>
            <w:vAlign w:val="bottom"/>
            <w:gridSpan w:val="4"/>
            <w:vMerge w:val="restart"/>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restart"/>
          </w:tcPr>
          <w:p>
            <w:pPr>
              <w:ind w:left="18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STOCKHOLDER MATTERS</w:t>
              </w:r>
            </w:hyperlink>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9080" w:type="dxa"/>
            <w:vAlign w:val="bottom"/>
            <w:gridSpan w:val="23"/>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9">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89">
              <w:r>
                <w:rPr>
                  <w:rFonts w:ascii="Arial" w:cs="Arial" w:eastAsia="Arial" w:hAnsi="Arial"/>
                  <w:sz w:val="18"/>
                  <w:szCs w:val="18"/>
                  <w:color w:val="0000EE"/>
                  <w:w w:val="71"/>
                </w:rPr>
                <w:t>13.</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89">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89">
              <w:r>
                <w:rPr>
                  <w:rFonts w:ascii="Arial" w:cs="Arial" w:eastAsia="Arial" w:hAnsi="Arial"/>
                  <w:sz w:val="18"/>
                  <w:szCs w:val="18"/>
                  <w:color w:val="0000EE"/>
                  <w:w w:val="71"/>
                </w:rPr>
                <w:t>14.</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ACCOUNTANT FEES AND SERVICES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PART IV</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90">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90">
              <w:r>
                <w:rPr>
                  <w:rFonts w:ascii="Arial" w:cs="Arial" w:eastAsia="Arial" w:hAnsi="Arial"/>
                  <w:sz w:val="18"/>
                  <w:szCs w:val="18"/>
                  <w:color w:val="0000EE"/>
                  <w:w w:val="71"/>
                </w:rPr>
                <w:t>15.</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EXHIBIT AND FINANCIAL STATEMENT SCHEDULES</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gridSpan w:val="3"/>
          </w:tcPr>
          <w:p>
            <w:pPr>
              <w:jc w:val="right"/>
              <w:ind w:right="20"/>
              <w:spacing w:after="0" w:line="196" w:lineRule="exact"/>
              <w:rPr>
                <w:rFonts w:ascii="Arial" w:cs="Arial" w:eastAsia="Arial" w:hAnsi="Arial"/>
                <w:sz w:val="18"/>
                <w:szCs w:val="18"/>
                <w:color w:val="0000EE"/>
                <w:w w:val="85"/>
              </w:rPr>
            </w:pPr>
            <w:hyperlink w:anchor="page94">
              <w:r>
                <w:rPr>
                  <w:rFonts w:ascii="Arial" w:cs="Arial" w:eastAsia="Arial" w:hAnsi="Arial"/>
                  <w:sz w:val="18"/>
                  <w:szCs w:val="18"/>
                  <w:color w:val="0000EE"/>
                  <w:w w:val="85"/>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94">
              <w:r>
                <w:rPr>
                  <w:rFonts w:ascii="Arial" w:cs="Arial" w:eastAsia="Arial" w:hAnsi="Arial"/>
                  <w:sz w:val="18"/>
                  <w:szCs w:val="18"/>
                  <w:color w:val="0000EE"/>
                  <w:w w:val="71"/>
                </w:rPr>
                <w:t>16.</w:t>
              </w:r>
            </w:hyperlink>
          </w:p>
        </w:tc>
        <w:tc>
          <w:tcPr>
            <w:tcW w:w="220" w:type="dxa"/>
            <w:vAlign w:val="bottom"/>
          </w:tcPr>
          <w:p>
            <w:pPr>
              <w:spacing w:after="0"/>
              <w:rPr>
                <w:sz w:val="17"/>
                <w:szCs w:val="17"/>
                <w:color w:val="auto"/>
              </w:rPr>
            </w:pPr>
          </w:p>
        </w:tc>
        <w:tc>
          <w:tcPr>
            <w:tcW w:w="9080" w:type="dxa"/>
            <w:vAlign w:val="bottom"/>
            <w:gridSpan w:val="23"/>
          </w:tcPr>
          <w:p>
            <w:pPr>
              <w:ind w:left="18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FORM 10-K SUMMARY</w:t>
              </w:r>
            </w:hyperlink>
          </w:p>
        </w:tc>
        <w:tc>
          <w:tcPr>
            <w:tcW w:w="1020" w:type="dxa"/>
            <w:vAlign w:val="bottom"/>
            <w:gridSpan w:val="4"/>
          </w:tcPr>
          <w:p>
            <w:pPr>
              <w:jc w:val="right"/>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Arial" w:cs="Arial" w:eastAsia="Arial" w:hAnsi="Arial"/>
          <w:sz w:val="18"/>
          <w:szCs w:val="18"/>
          <w:color w:val="auto"/>
        </w:rPr>
        <w:t>“</w:t>
      </w:r>
      <w:r>
        <w:rPr>
          <w:rFonts w:ascii="Arial" w:cs="Arial" w:eastAsia="Arial" w:hAnsi="Arial"/>
          <w:sz w:val="18"/>
          <w:szCs w:val="18"/>
          <w:i w:val="1"/>
          <w:iCs w:val="1"/>
          <w:color w:val="auto"/>
        </w:rPr>
        <w:t xml:space="preserve">Part I. Item 1. Business </w:t>
      </w:r>
      <w:r>
        <w:rPr>
          <w:rFonts w:ascii="Arial" w:cs="Arial" w:eastAsia="Arial" w:hAnsi="Arial"/>
          <w:sz w:val="18"/>
          <w:szCs w:val="18"/>
          <w:color w:val="auto"/>
        </w:rPr>
        <w:t>–</w:t>
      </w:r>
      <w:r>
        <w:rPr>
          <w:rFonts w:ascii="Arial" w:cs="Arial" w:eastAsia="Arial" w:hAnsi="Arial"/>
          <w:sz w:val="18"/>
          <w:szCs w:val="18"/>
          <w:i w:val="1"/>
          <w:iCs w:val="1"/>
          <w:color w:val="auto"/>
        </w:rPr>
        <w:t xml:space="preserve"> Forward-Looking Statements.</w:t>
      </w:r>
      <w:r>
        <w:rPr>
          <w:rFonts w:ascii="Arial" w:cs="Arial" w:eastAsia="Arial" w:hAnsi="Arial"/>
          <w:sz w:val="18"/>
          <w:szCs w:val="18"/>
          <w:color w:val="auto"/>
        </w:rPr>
        <w:t>”</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As used in this report, references to: (1) </w:t>
      </w:r>
      <w:r>
        <w:rPr>
          <w:rFonts w:ascii="Arial" w:cs="Arial" w:eastAsia="Arial" w:hAnsi="Arial"/>
          <w:sz w:val="17"/>
          <w:szCs w:val="17"/>
          <w:color w:val="auto"/>
        </w:rPr>
        <w:t>“</w:t>
      </w:r>
      <w:r>
        <w:rPr>
          <w:rFonts w:ascii="Arial" w:cs="Arial" w:eastAsia="Arial" w:hAnsi="Arial"/>
          <w:sz w:val="17"/>
          <w:szCs w:val="17"/>
          <w:i w:val="1"/>
          <w:iCs w:val="1"/>
          <w:color w:val="auto"/>
        </w:rPr>
        <w:t>NTIC China</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China, NTIC (Shanghai) Co., Ltd.; (2) </w:t>
      </w:r>
      <w:r>
        <w:rPr>
          <w:rFonts w:ascii="Arial" w:cs="Arial" w:eastAsia="Arial" w:hAnsi="Arial"/>
          <w:sz w:val="17"/>
          <w:szCs w:val="17"/>
          <w:color w:val="auto"/>
        </w:rPr>
        <w:t>“</w:t>
      </w:r>
      <w:r>
        <w:rPr>
          <w:rFonts w:ascii="Arial" w:cs="Arial" w:eastAsia="Arial" w:hAnsi="Arial"/>
          <w:sz w:val="17"/>
          <w:szCs w:val="17"/>
          <w:i w:val="1"/>
          <w:iCs w:val="1"/>
          <w:color w:val="auto"/>
        </w:rPr>
        <w:t>NTI Europe</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Germany, NTIC Europe GmbH; (3) </w:t>
      </w:r>
      <w:r>
        <w:rPr>
          <w:rFonts w:ascii="Arial" w:cs="Arial" w:eastAsia="Arial" w:hAnsi="Arial"/>
          <w:sz w:val="17"/>
          <w:szCs w:val="17"/>
          <w:color w:val="auto"/>
        </w:rPr>
        <w:t>“</w:t>
      </w:r>
      <w:r>
        <w:rPr>
          <w:rFonts w:ascii="Arial" w:cs="Arial" w:eastAsia="Arial" w:hAnsi="Arial"/>
          <w:sz w:val="17"/>
          <w:szCs w:val="17"/>
          <w:i w:val="1"/>
          <w:iCs w:val="1"/>
          <w:color w:val="auto"/>
        </w:rPr>
        <w:t>Zerust Mexico</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Mexico, ZERUST-EXCOR MEXICO, S. de R.L. de C.V; (4) </w:t>
      </w:r>
      <w:r>
        <w:rPr>
          <w:rFonts w:ascii="Arial" w:cs="Arial" w:eastAsia="Arial" w:hAnsi="Arial"/>
          <w:sz w:val="17"/>
          <w:szCs w:val="17"/>
          <w:color w:val="auto"/>
        </w:rPr>
        <w:t>“</w:t>
      </w:r>
      <w:r>
        <w:rPr>
          <w:rFonts w:ascii="Arial" w:cs="Arial" w:eastAsia="Arial" w:hAnsi="Arial"/>
          <w:sz w:val="17"/>
          <w:szCs w:val="17"/>
          <w:i w:val="1"/>
          <w:iCs w:val="1"/>
          <w:color w:val="auto"/>
        </w:rPr>
        <w:t>Zerust Brazil</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majority-owned Brazilian subsidiary, Zerust Preven</w:t>
      </w:r>
      <w:r>
        <w:rPr>
          <w:rFonts w:ascii="Arial" w:cs="Arial" w:eastAsia="Arial" w:hAnsi="Arial"/>
          <w:sz w:val="17"/>
          <w:szCs w:val="17"/>
          <w:color w:val="auto"/>
        </w:rPr>
        <w:t>çã</w:t>
      </w:r>
      <w:r>
        <w:rPr>
          <w:rFonts w:ascii="Arial" w:cs="Arial" w:eastAsia="Arial" w:hAnsi="Arial"/>
          <w:sz w:val="17"/>
          <w:szCs w:val="17"/>
          <w:i w:val="1"/>
          <w:iCs w:val="1"/>
          <w:color w:val="auto"/>
        </w:rPr>
        <w:t>o de Corros</w:t>
      </w:r>
      <w:r>
        <w:rPr>
          <w:rFonts w:ascii="Arial" w:cs="Arial" w:eastAsia="Arial" w:hAnsi="Arial"/>
          <w:sz w:val="17"/>
          <w:szCs w:val="17"/>
          <w:color w:val="auto"/>
        </w:rPr>
        <w:t>ã</w:t>
      </w:r>
      <w:r>
        <w:rPr>
          <w:rFonts w:ascii="Arial" w:cs="Arial" w:eastAsia="Arial" w:hAnsi="Arial"/>
          <w:sz w:val="17"/>
          <w:szCs w:val="17"/>
          <w:i w:val="1"/>
          <w:iCs w:val="1"/>
          <w:color w:val="auto"/>
        </w:rPr>
        <w:t xml:space="preserve">o S.A.; (5) </w:t>
      </w:r>
      <w:r>
        <w:rPr>
          <w:rFonts w:ascii="Arial" w:cs="Arial" w:eastAsia="Arial" w:hAnsi="Arial"/>
          <w:sz w:val="17"/>
          <w:szCs w:val="17"/>
          <w:color w:val="auto"/>
        </w:rPr>
        <w:t>“</w:t>
      </w:r>
      <w:r>
        <w:rPr>
          <w:rFonts w:ascii="Arial" w:cs="Arial" w:eastAsia="Arial" w:hAnsi="Arial"/>
          <w:sz w:val="17"/>
          <w:szCs w:val="17"/>
          <w:i w:val="1"/>
          <w:iCs w:val="1"/>
          <w:color w:val="auto"/>
        </w:rPr>
        <w:t>Harita-NTI</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India effective as of September 1, 2021, Harita-NTI Limited; (6) </w:t>
      </w:r>
      <w:r>
        <w:rPr>
          <w:rFonts w:ascii="Arial" w:cs="Arial" w:eastAsia="Arial" w:hAnsi="Arial"/>
          <w:sz w:val="17"/>
          <w:szCs w:val="17"/>
          <w:color w:val="auto"/>
        </w:rPr>
        <w:t>“</w:t>
      </w:r>
      <w:r>
        <w:rPr>
          <w:rFonts w:ascii="Arial" w:cs="Arial" w:eastAsia="Arial" w:hAnsi="Arial"/>
          <w:sz w:val="17"/>
          <w:szCs w:val="17"/>
          <w:i w:val="1"/>
          <w:iCs w:val="1"/>
          <w:color w:val="auto"/>
        </w:rPr>
        <w:t>Natur-Tec India</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majority-owned subsidiary in India, Natur-Tec India Private Limited; (7) </w:t>
      </w:r>
      <w:r>
        <w:rPr>
          <w:rFonts w:ascii="Arial" w:cs="Arial" w:eastAsia="Arial" w:hAnsi="Arial"/>
          <w:sz w:val="17"/>
          <w:szCs w:val="17"/>
          <w:color w:val="auto"/>
        </w:rPr>
        <w:t>“</w:t>
      </w:r>
      <w:r>
        <w:rPr>
          <w:rFonts w:ascii="Arial" w:cs="Arial" w:eastAsia="Arial" w:hAnsi="Arial"/>
          <w:sz w:val="17"/>
          <w:szCs w:val="17"/>
          <w:i w:val="1"/>
          <w:iCs w:val="1"/>
          <w:color w:val="auto"/>
        </w:rPr>
        <w:t>Natur Tec Lanka</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majority-owned subsidiary in Sri Lanka, Natur Tec Lanka (Pvt) Ltd and (8) </w:t>
      </w:r>
      <w:r>
        <w:rPr>
          <w:rFonts w:ascii="Arial" w:cs="Arial" w:eastAsia="Arial" w:hAnsi="Arial"/>
          <w:sz w:val="17"/>
          <w:szCs w:val="17"/>
          <w:color w:val="auto"/>
        </w:rPr>
        <w:t>“</w:t>
      </w:r>
      <w:r>
        <w:rPr>
          <w:rFonts w:ascii="Arial" w:cs="Arial" w:eastAsia="Arial" w:hAnsi="Arial"/>
          <w:sz w:val="17"/>
          <w:szCs w:val="17"/>
          <w:i w:val="1"/>
          <w:iCs w:val="1"/>
          <w:color w:val="auto"/>
        </w:rPr>
        <w:t>NTI Asean</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do not include the accounts of any of its joint ventures. Except as otherwise indicated, references in this report to NTIC</w:t>
      </w:r>
      <w:r>
        <w:rPr>
          <w:rFonts w:ascii="Arial" w:cs="Arial" w:eastAsia="Arial" w:hAnsi="Arial"/>
          <w:sz w:val="18"/>
          <w:szCs w:val="18"/>
          <w:color w:val="auto"/>
        </w:rPr>
        <w:t>’</w:t>
      </w:r>
      <w:r>
        <w:rPr>
          <w:rFonts w:ascii="Arial" w:cs="Arial" w:eastAsia="Arial" w:hAnsi="Arial"/>
          <w:sz w:val="18"/>
          <w:szCs w:val="18"/>
          <w:i w:val="1"/>
          <w:iCs w:val="1"/>
          <w:color w:val="auto"/>
        </w:rPr>
        <w:t>s joint ventures do not include any of NTIC</w:t>
      </w:r>
      <w:r>
        <w:rPr>
          <w:rFonts w:ascii="Arial" w:cs="Arial" w:eastAsia="Arial" w:hAnsi="Arial"/>
          <w:sz w:val="18"/>
          <w:szCs w:val="18"/>
          <w:color w:val="auto"/>
        </w:rPr>
        <w:t>’</w:t>
      </w:r>
      <w:r>
        <w:rPr>
          <w:rFonts w:ascii="Arial" w:cs="Arial" w:eastAsia="Arial" w:hAnsi="Arial"/>
          <w:sz w:val="18"/>
          <w:szCs w:val="18"/>
          <w:i w:val="1"/>
          <w:iCs w:val="1"/>
          <w:color w:val="auto"/>
        </w:rPr>
        <w:t>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 used in this report, references to </w:t>
      </w:r>
      <w:r>
        <w:rPr>
          <w:rFonts w:ascii="Arial" w:cs="Arial" w:eastAsia="Arial" w:hAnsi="Arial"/>
          <w:sz w:val="16"/>
          <w:szCs w:val="16"/>
          <w:color w:val="auto"/>
        </w:rPr>
        <w:t>“</w:t>
      </w:r>
      <w:r>
        <w:rPr>
          <w:rFonts w:ascii="Arial" w:cs="Arial" w:eastAsia="Arial" w:hAnsi="Arial"/>
          <w:sz w:val="16"/>
          <w:szCs w:val="16"/>
          <w:i w:val="1"/>
          <w:iCs w:val="1"/>
          <w:color w:val="auto"/>
        </w:rPr>
        <w:t>EXCOR</w:t>
      </w:r>
      <w:r>
        <w:rPr>
          <w:rFonts w:ascii="Arial" w:cs="Arial" w:eastAsia="Arial" w:hAnsi="Arial"/>
          <w:sz w:val="16"/>
          <w:szCs w:val="16"/>
          <w:color w:val="auto"/>
        </w:rPr>
        <w:t>”</w:t>
      </w:r>
      <w:r>
        <w:rPr>
          <w:rFonts w:ascii="Arial" w:cs="Arial" w:eastAsia="Arial" w:hAnsi="Arial"/>
          <w:sz w:val="16"/>
          <w:szCs w:val="16"/>
          <w:i w:val="1"/>
          <w:iCs w:val="1"/>
          <w:color w:val="auto"/>
        </w:rPr>
        <w:t xml:space="preserve"> refer to NTIC</w:t>
      </w:r>
      <w:r>
        <w:rPr>
          <w:rFonts w:ascii="Arial" w:cs="Arial" w:eastAsia="Arial" w:hAnsi="Arial"/>
          <w:sz w:val="16"/>
          <w:szCs w:val="16"/>
          <w:color w:val="auto"/>
        </w:rPr>
        <w:t>’</w:t>
      </w:r>
      <w:r>
        <w:rPr>
          <w:rFonts w:ascii="Arial" w:cs="Arial" w:eastAsia="Arial" w:hAnsi="Arial"/>
          <w:sz w:val="16"/>
          <w:szCs w:val="16"/>
          <w:i w:val="1"/>
          <w:iCs w:val="1"/>
          <w:color w:val="auto"/>
        </w:rPr>
        <w:t xml:space="preserve">s joint venture in Germany, Excor Korrosionsschutz </w:t>
      </w:r>
      <w:r>
        <w:rPr>
          <w:rFonts w:ascii="Arial" w:cs="Arial" w:eastAsia="Arial" w:hAnsi="Arial"/>
          <w:sz w:val="16"/>
          <w:szCs w:val="16"/>
          <w:color w:val="auto"/>
        </w:rPr>
        <w:t>–</w:t>
      </w:r>
      <w:r>
        <w:rPr>
          <w:rFonts w:ascii="Arial" w:cs="Arial" w:eastAsia="Arial" w:hAnsi="Arial"/>
          <w:sz w:val="16"/>
          <w:szCs w:val="16"/>
          <w:i w:val="1"/>
          <w:iCs w:val="1"/>
          <w:color w:val="auto"/>
        </w:rPr>
        <w:t xml:space="preserve"> Technologien und Produkte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45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Effective as of September 1, 2021, NTIC purchased the remaining ownership interest in Harita-NTI Limited (Harita-NTI) and now sells its ZERUST products in India through this wholly-owned subsidiary. NTIC also sells products directly to its European joint venture partners through its wholly-owned subsidiary in Germany, NTIC Europe GmbH (NTI Europe).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sheet/profile extrusion, injection molding, extrusion coating/lamination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right="240"/>
        <w:spacing w:after="0" w:line="342" w:lineRule="auto"/>
        <w:rPr>
          <w:sz w:val="20"/>
          <w:szCs w:val="20"/>
          <w:color w:val="auto"/>
        </w:rPr>
      </w:pPr>
      <w:r>
        <w:rPr>
          <w:rFonts w:ascii="Arial" w:cs="Arial" w:eastAsia="Arial" w:hAnsi="Arial"/>
          <w:sz w:val="16"/>
          <w:szCs w:val="16"/>
          <w:color w:val="auto"/>
        </w:rPr>
        <w:t>Internationally, NTIC sells its Natur-Tec® resin compounds and finished products both directly and through its NTIC China wholly-owned subsidiary as well as its Natur-Tec India and Natur-Tec Lanka majority-owned subsidiaries in India and Sri Lanka, and through distributors and certain joint ventures.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 and Worldwide Supply Chain Disruptions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Beginning last year, the novel coronavirus (COVID-19) pandemic negatively impacted the global economy, disrupted global supply chains, created significant volatility and disruption in financial markets and resulted in lockdowns.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fiscal year 2021, the Company was impacted by shipping issues, including freight container shortages, shipping delays, and increased costs, and supply chain issues, including longer lead times and raw material cost increases. These impacts were largely a result of disruptions caused by the COVID-19 pandemic and the uptick in demand due to the ongoing global economic recovery. While there has been some recovery in the global economy and financial markets due in part to the easing of government mandated restrictions due to lower rates of infection, these restrictions may be reinstated if rates of infection continue to rise due to the Delta variant or subsequent variants of COVID-19, which could cause the COVID-19 pandemic to continue to have a material adverse effect on NTIC’s business, operating results and financial condition in fiscal 2022.</w:t>
      </w:r>
    </w:p>
    <w:p>
      <w:pPr>
        <w:spacing w:after="0" w:line="185"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Worldwide supply chain disruptions, which were initially brought about by the impact of the COVID-19 pandemic, have persisted despite the recovery in the global economy and financial markets, and these issues are expected to continue in fiscal 2022. In fiscal 2021, NTIC experienced longer lead times for raw materials, was forced to find new suppliers of certain raw materials, and experienced raw material cost increases compared to prior fiscal years.</w:t>
      </w:r>
    </w:p>
    <w:p>
      <w:pPr>
        <w:spacing w:after="0" w:line="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Additionally, NTIC experienced significantly longer shipping times and significant price increases per shipping container compared to prior fiscal years due to ocean freight capacity issues resulting from increased demand for shipping and reduced capacity and equipment. These and other issues resulting from worldwide supply chain disruptions are expected to continue in fiscal 2022 and could continue to have a material adverse effect on NTIC’s business, operating results and financial condition. The precise financial impact and duration, however, cannot be reasonably estimated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NTIC has ownership interests in 10 operating subsidiaries in North America, South America, Europe, and Asia. The following table sets forth a list of NTIC’s operating subsidiaries as of November 15, 2021,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764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auto"/>
              </w:rPr>
              <w:t>Subsidiary Name</w:t>
            </w: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NTIC (Shanghai) Co.,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17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NTI Asean LLC</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60%</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Prevenção de Corrosão S.A.</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85%</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ZERUST-EXCOR MEXICO, S. de R.L. de C.V</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Harita-NTI Limited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17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Natur-Tec India Private Limited</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India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75%</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 Tec Lanka (Pvt)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Sri Lanka</w:t>
            </w:r>
            <w:r>
              <w:rPr>
                <w:rFonts w:ascii="Arial" w:cs="Arial" w:eastAsia="Arial" w:hAnsi="Arial"/>
                <w:sz w:val="25"/>
                <w:szCs w:val="25"/>
                <w:color w:val="auto"/>
                <w:w w:val="99"/>
                <w:vertAlign w:val="superscript"/>
              </w:rPr>
              <w:t>(1)</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75%</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NTIC Europe GmbH</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Singapore Pte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6"/>
              </w:rPr>
              <w:t>Singapore</w:t>
            </w:r>
            <w:r>
              <w:rPr>
                <w:rFonts w:ascii="Arial" w:cs="Arial" w:eastAsia="Arial" w:hAnsi="Arial"/>
                <w:sz w:val="25"/>
                <w:szCs w:val="25"/>
                <w:color w:val="auto"/>
                <w:w w:val="96"/>
                <w:vertAlign w:val="superscript"/>
              </w:rPr>
              <w:t>(2)</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60%</w:t>
            </w:r>
          </w:p>
        </w:tc>
      </w:tr>
      <w:tr>
        <w:trPr>
          <w:trHeight w:val="202"/>
        </w:trPr>
        <w:tc>
          <w:tcPr>
            <w:tcW w:w="7640" w:type="dxa"/>
            <w:vAlign w:val="bottom"/>
          </w:tcPr>
          <w:p>
            <w:pPr>
              <w:ind w:left="20"/>
              <w:spacing w:after="0" w:line="201" w:lineRule="exact"/>
              <w:rPr>
                <w:sz w:val="20"/>
                <w:szCs w:val="20"/>
                <w:color w:val="auto"/>
              </w:rPr>
            </w:pPr>
            <w:r>
              <w:rPr>
                <w:rFonts w:ascii="Arial" w:cs="Arial" w:eastAsia="Arial" w:hAnsi="Arial"/>
                <w:sz w:val="18"/>
                <w:szCs w:val="18"/>
                <w:color w:val="auto"/>
              </w:rPr>
              <w:t>Zerust Vietnam Co. Ltd</w:t>
            </w:r>
          </w:p>
        </w:tc>
        <w:tc>
          <w:tcPr>
            <w:tcW w:w="14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5"/>
                <w:szCs w:val="15"/>
                <w:color w:val="auto"/>
              </w:rPr>
              <w:t>Vietnam</w:t>
            </w:r>
            <w:r>
              <w:rPr>
                <w:rFonts w:ascii="Arial" w:cs="Arial" w:eastAsia="Arial" w:hAnsi="Arial"/>
                <w:sz w:val="23"/>
                <w:szCs w:val="23"/>
                <w:color w:val="auto"/>
                <w:vertAlign w:val="superscript"/>
              </w:rPr>
              <w:t>(2)</w:t>
            </w:r>
          </w:p>
        </w:tc>
        <w:tc>
          <w:tcPr>
            <w:tcW w:w="17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8"/>
              </w:rPr>
              <w:t>60%</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2"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 Tec Lanka (Pvt) Ltd. is 100% owned by Natur-Tec India Private Limited and, therefore, indirectly owned by NTIC.</w:t>
      </w:r>
    </w:p>
    <w:p>
      <w:pPr>
        <w:spacing w:after="0" w:line="23"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results of these subsidiaries are fully consolidated in NTIC’s consolidated financial statements, except that Harita-NTI Limited only became a wholly owned subsidiary as of September 1, 2021; and therefore, its results of operations are not included in NTIC’s consolidated financial statements included in this report as the investment and financial results of this joint venture are consolidated utilizing the equity method of accounting.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NTIC participates in 18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list of NTIC’s operating joint ventures as of November 15, 2021, the country in which the joint venture is organized,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4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4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Joint Venture Name</w:t>
            </w: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TAIYONIC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ACOBAL SAS</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EXCOR KORROSIONSSCHUTZ – TECHNOLOGIEN ….UND PRODUKTE GMBH</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 AB</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MOSTNIC-ZERUST</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 OY</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(U.K.)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EXCOR-ZERUST S.R.O.</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Czech Republic</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EXCOR SP. Z.O.O.</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 A.Ş.</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ZERUST CONSUMER PRODUCTS, LLC</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 – DNEPR</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KOREA ZERUST CO., LTD.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8"/>
              </w:rPr>
              <w:t xml:space="preserve">South Korea </w:t>
            </w:r>
            <w:r>
              <w:rPr>
                <w:rFonts w:ascii="Arial" w:cs="Arial" w:eastAsia="Arial" w:hAnsi="Arial"/>
                <w:sz w:val="25"/>
                <w:szCs w:val="25"/>
                <w:color w:val="auto"/>
                <w:w w:val="98"/>
                <w:vertAlign w:val="superscript"/>
              </w:rPr>
              <w:t>(1)</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ZERUST-NIC (TAIWAN) CORP.</w:t>
            </w:r>
          </w:p>
        </w:tc>
        <w:tc>
          <w:tcPr>
            <w:tcW w:w="140" w:type="dxa"/>
            <w:vAlign w:val="bottom"/>
          </w:tcPr>
          <w:p>
            <w:pPr>
              <w:spacing w:after="0"/>
              <w:rPr>
                <w:sz w:val="18"/>
                <w:szCs w:val="18"/>
                <w:color w:val="auto"/>
              </w:rPr>
            </w:pPr>
          </w:p>
        </w:tc>
        <w:tc>
          <w:tcPr>
            <w:tcW w:w="1680" w:type="dxa"/>
            <w:vAlign w:val="bottom"/>
          </w:tcPr>
          <w:p>
            <w:pPr>
              <w:jc w:val="center"/>
              <w:spacing w:after="0" w:line="216" w:lineRule="exact"/>
              <w:rPr>
                <w:sz w:val="20"/>
                <w:szCs w:val="20"/>
                <w:color w:val="auto"/>
              </w:rPr>
            </w:pPr>
            <w:r>
              <w:rPr>
                <w:rFonts w:ascii="Arial" w:cs="Arial" w:eastAsia="Arial" w:hAnsi="Arial"/>
                <w:sz w:val="16"/>
                <w:szCs w:val="16"/>
                <w:color w:val="auto"/>
                <w:w w:val="96"/>
              </w:rPr>
              <w:t xml:space="preserve">Taiwan </w:t>
            </w:r>
            <w:r>
              <w:rPr>
                <w:rFonts w:ascii="Arial" w:cs="Arial" w:eastAsia="Arial" w:hAnsi="Arial"/>
                <w:sz w:val="25"/>
                <w:szCs w:val="25"/>
                <w:color w:val="auto"/>
                <w:w w:val="96"/>
                <w:vertAlign w:val="superscript"/>
              </w:rPr>
              <w:t>(1)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CHEMINDO – NTIA</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7"/>
              </w:rPr>
              <w:t xml:space="preserve">Indonesia </w:t>
            </w:r>
            <w:r>
              <w:rPr>
                <w:rFonts w:ascii="Arial" w:cs="Arial" w:eastAsia="Arial" w:hAnsi="Arial"/>
                <w:sz w:val="25"/>
                <w:szCs w:val="25"/>
                <w:color w:val="auto"/>
                <w:w w:val="97"/>
                <w:vertAlign w:val="superscript"/>
              </w:rPr>
              <w:t>(1)</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16"/>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ZERUST SPECIALTY TECH CO. LTD.</w:t>
            </w:r>
          </w:p>
        </w:tc>
        <w:tc>
          <w:tcPr>
            <w:tcW w:w="140" w:type="dxa"/>
            <w:vAlign w:val="bottom"/>
          </w:tcPr>
          <w:p>
            <w:pPr>
              <w:spacing w:after="0"/>
              <w:rPr>
                <w:sz w:val="18"/>
                <w:szCs w:val="18"/>
                <w:color w:val="auto"/>
              </w:rPr>
            </w:pPr>
          </w:p>
        </w:tc>
        <w:tc>
          <w:tcPr>
            <w:tcW w:w="1680" w:type="dxa"/>
            <w:vAlign w:val="bottom"/>
          </w:tcPr>
          <w:p>
            <w:pPr>
              <w:jc w:val="center"/>
              <w:spacing w:after="0" w:line="216" w:lineRule="exact"/>
              <w:rPr>
                <w:sz w:val="20"/>
                <w:szCs w:val="20"/>
                <w:color w:val="auto"/>
              </w:rPr>
            </w:pPr>
            <w:r>
              <w:rPr>
                <w:rFonts w:ascii="Arial" w:cs="Arial" w:eastAsia="Arial" w:hAnsi="Arial"/>
                <w:sz w:val="16"/>
                <w:szCs w:val="16"/>
                <w:color w:val="auto"/>
                <w:w w:val="99"/>
              </w:rPr>
              <w:t xml:space="preserve">Thailand </w:t>
            </w:r>
            <w:r>
              <w:rPr>
                <w:rFonts w:ascii="Arial" w:cs="Arial" w:eastAsia="Arial" w:hAnsi="Arial"/>
                <w:sz w:val="25"/>
                <w:szCs w:val="25"/>
                <w:color w:val="auto"/>
                <w:w w:val="99"/>
                <w:vertAlign w:val="superscript"/>
              </w:rPr>
              <w:t>(1)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CHONG WAH-NTIA SDN. BHD.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 xml:space="preserve">Malaysia </w:t>
            </w:r>
            <w:r>
              <w:rPr>
                <w:rFonts w:ascii="Arial" w:cs="Arial" w:eastAsia="Arial" w:hAnsi="Arial"/>
                <w:sz w:val="25"/>
                <w:szCs w:val="25"/>
                <w:color w:val="auto"/>
                <w:vertAlign w:val="superscript"/>
              </w:rPr>
              <w:t>(1)</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w:t>
            </w:r>
          </w:p>
        </w:tc>
      </w:tr>
      <w:tr>
        <w:trPr>
          <w:trHeight w:val="202"/>
        </w:trPr>
        <w:tc>
          <w:tcPr>
            <w:tcW w:w="76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NTIA ZERUST PHILIPPINES, INC.</w:t>
            </w:r>
          </w:p>
        </w:tc>
        <w:tc>
          <w:tcPr>
            <w:tcW w:w="14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5"/>
                <w:szCs w:val="15"/>
                <w:color w:val="auto"/>
              </w:rPr>
              <w:t xml:space="preserve">Philippines </w:t>
            </w:r>
            <w:r>
              <w:rPr>
                <w:rFonts w:ascii="Arial" w:cs="Arial" w:eastAsia="Arial" w:hAnsi="Arial"/>
                <w:sz w:val="23"/>
                <w:szCs w:val="23"/>
                <w:color w:val="auto"/>
                <w:vertAlign w:val="superscript"/>
              </w:rPr>
              <w:t>(1)</w:t>
            </w:r>
          </w:p>
        </w:tc>
        <w:tc>
          <w:tcPr>
            <w:tcW w:w="178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8"/>
              </w:rPr>
              <w:t>30%</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7220" w:type="dxa"/>
            <w:vAlign w:val="bottom"/>
          </w:tcPr>
          <w:p>
            <w:pPr>
              <w:ind w:left="200"/>
              <w:spacing w:after="0"/>
              <w:rPr>
                <w:sz w:val="20"/>
                <w:szCs w:val="20"/>
                <w:color w:val="auto"/>
              </w:rPr>
            </w:pPr>
            <w:r>
              <w:rPr>
                <w:rFonts w:ascii="Arial" w:cs="Arial" w:eastAsia="Arial" w:hAnsi="Arial"/>
                <w:sz w:val="18"/>
                <w:szCs w:val="18"/>
                <w:color w:val="auto"/>
              </w:rPr>
              <w:t>Indirect ownership interest through NTI Asean.</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dividends are paid and, if so,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31, 2021, Harita-NTI Limited was a joint venture and consolidated using the equity method of accounting. Harita-NTI Limited only became a wholly owned subsidiary as of September 1,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140" w:firstLine="18"/>
        <w:spacing w:after="0" w:line="259" w:lineRule="auto"/>
        <w:rPr>
          <w:sz w:val="20"/>
          <w:szCs w:val="20"/>
          <w:color w:val="auto"/>
        </w:rPr>
      </w:pPr>
      <w:r>
        <w:rPr>
          <w:rFonts w:ascii="Arial" w:cs="Arial" w:eastAsia="Arial" w:hAnsi="Arial"/>
          <w:sz w:val="18"/>
          <w:szCs w:val="18"/>
          <w:color w:val="auto"/>
        </w:rPr>
        <w:t>NTIC considers EXCOR to be individually significant to NTIC’s consolidated assets and income as of August 31, 2021. NTIC considers EXCOR, ACOBAL SAS, ZERUST OY, ZERUST SPECIALTY TECH CO. LTD. and its former joint venture, Harita-NTI Limited, to be individually significant to NTIC’s consolidated assets and income as of August 31, 2020. Therefore, NTIC provides certain additional information regarding these joint ventures in the notes to NTIC’s consolidated financial statements and in this section of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For more information regarding NTIC’s joint ventures and their effect on NTIC’s operating results, see NTIC’s consolidated financial statements in “</w:t>
      </w:r>
      <w:r>
        <w:rPr>
          <w:rFonts w:ascii="Arial" w:cs="Arial" w:eastAsia="Arial" w:hAnsi="Arial"/>
          <w:sz w:val="16"/>
          <w:szCs w:val="16"/>
          <w:i w:val="1"/>
          <w:iCs w:val="1"/>
          <w:color w:val="auto"/>
        </w:rPr>
        <w:t>Part</w:t>
      </w:r>
    </w:p>
    <w:p>
      <w:pPr>
        <w:spacing w:after="0" w:line="46" w:lineRule="exact"/>
        <w:rPr>
          <w:sz w:val="20"/>
          <w:szCs w:val="20"/>
          <w:color w:val="auto"/>
        </w:rPr>
      </w:pPr>
    </w:p>
    <w:p>
      <w:pPr>
        <w:ind w:firstLine="8"/>
        <w:spacing w:after="0" w:line="260" w:lineRule="auto"/>
        <w:tabs>
          <w:tab w:leader="none" w:pos="21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Item 8. Financial Statements and Supplementary Data</w:t>
      </w:r>
      <w:r>
        <w:rPr>
          <w:rFonts w:ascii="Arial" w:cs="Arial" w:eastAsia="Arial" w:hAnsi="Arial"/>
          <w:sz w:val="18"/>
          <w:szCs w:val="18"/>
          <w:color w:val="auto"/>
        </w:rPr>
        <w:t>” and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w:t>
      </w:r>
      <w:r>
        <w:rPr>
          <w:rFonts w:ascii="Arial" w:cs="Arial" w:eastAsia="Arial" w:hAnsi="Arial"/>
          <w:sz w:val="18"/>
          <w:szCs w:val="18"/>
          <w:color w:val="auto"/>
        </w:rPr>
        <w:t>”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NTIC derives revenues directly and/or indirectly through its subsidiaries and joint ventures from two reportable business segments based on products sold, customer base, and distribution center: ZERUST® corrosion prevention solutions and Natur-Tec® resin compounds and finished products.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In fiscal 2021, 80.6% of NTIC’s consolidated net sales were derived from developing, manufacturing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ZERUST® rust and corrosion inhibiting products and services. NTIC’s consolidated net sales in fiscal 2021 included $45,554,434 in sales of ZERUST® rust and corrosion inhibiting products and services, an increase of 32.1% from such sales in fiscal 2020.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 packaging products contain proprietary chemical formulations that continuously release invisible,</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 packaging. Electron scanning shows that once metal products are removed from the ZERUST® packaging, the ZERUST®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 was first to develop the means of infusing volatile corrosion inhibiting chemical compounds (VCIs) into polyethylene and polypropylene resins. Combining ZERUST®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 plastic and paper packaging products come in various thicknesses, strength enhancements, protection types, shapes, and sizes. This product line also includes items such as ZERUST® gun cases, car covers, and tool-drawer liners, which are targeted at retail consumers.</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or bio-solvent based, and are marketed under brand names including Axxatec™, Axxanol™, and Z-Maxx™.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 liquids and coatings with ZERUST® plastic and/or paper products to achieve robust corrosion protection during manufacturing, shipping, and warehousing stages.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 w:name="page9"/>
    <w:bookmarkEnd w:id="8"/>
    <w:p>
      <w:pPr>
        <w:ind w:right="20"/>
        <w:spacing w:after="0" w:line="263"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under the Axxaclean™ brand name, designed to restore rusty parts to a</w:t>
      </w:r>
      <w:r>
        <w:rPr>
          <w:rFonts w:ascii="Arial" w:cs="Arial" w:eastAsia="Arial" w:hAnsi="Arial"/>
          <w:sz w:val="18"/>
          <w:szCs w:val="18"/>
          <w:i w:val="1"/>
          <w:iCs w:val="1"/>
          <w:color w:val="auto"/>
        </w:rPr>
        <w:t xml:space="preserve"> </w:t>
      </w:r>
      <w:r>
        <w:rPr>
          <w:rFonts w:ascii="Arial" w:cs="Arial" w:eastAsia="Arial" w:hAnsi="Arial"/>
          <w:sz w:val="18"/>
          <w:szCs w:val="18"/>
          <w:color w:val="auto"/>
        </w:rPr>
        <w:t>usable condition without the use of labor-intensive, abrasive cleaners that damage surfaces and commonly fail to remove rust from complex metal surfaces, like the teeth of small gears.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Diffusers</w:t>
      </w:r>
      <w:r>
        <w:rPr>
          <w:rFonts w:ascii="Arial" w:cs="Arial" w:eastAsia="Arial" w:hAnsi="Arial"/>
          <w:sz w:val="18"/>
          <w:szCs w:val="18"/>
          <w:color w:val="auto"/>
        </w:rPr>
        <w:t>. NTIC’s corrosion prevention solutions include a line of corrosion inhibiting vapor diffusers, such as ZERUST® ActivPak®, ZERUST® ICT®</w:t>
      </w:r>
      <w:r>
        <w:rPr>
          <w:rFonts w:ascii="Arial" w:cs="Arial" w:eastAsia="Arial" w:hAnsi="Arial"/>
          <w:sz w:val="18"/>
          <w:szCs w:val="18"/>
          <w:i w:val="1"/>
          <w:iCs w:val="1"/>
          <w:color w:val="auto"/>
        </w:rPr>
        <w:t xml:space="preserve"> </w:t>
      </w:r>
      <w:r>
        <w:rPr>
          <w:rFonts w:ascii="Arial" w:cs="Arial" w:eastAsia="Arial" w:hAnsi="Arial"/>
          <w:sz w:val="18"/>
          <w:szCs w:val="18"/>
          <w:color w:val="auto"/>
        </w:rPr>
        <w:t>Vapor Capsules, ZERUST® ICT® Plastabs®, ZERUST® ICT® Cor-Tabs®, ZERUST® ICT® Pipe Strip, and ZERUST® ICT® Tube Strip. These diffusers are designed to protect metals within enclosures, like switch gearboxes and electronics cabinets, or can be used as extra protection when added to ZERUST®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w:t>
      </w:r>
    </w:p>
    <w:p>
      <w:pPr>
        <w:spacing w:after="0" w:line="195" w:lineRule="exact"/>
        <w:rPr>
          <w:sz w:val="20"/>
          <w:szCs w:val="20"/>
          <w:color w:val="auto"/>
        </w:rPr>
      </w:pPr>
    </w:p>
    <w:p>
      <w:pPr>
        <w:spacing w:after="0" w:line="220" w:lineRule="exact"/>
        <w:rPr>
          <w:sz w:val="20"/>
          <w:szCs w:val="20"/>
          <w:color w:val="auto"/>
        </w:rPr>
      </w:pPr>
      <w:r>
        <w:rPr>
          <w:rFonts w:ascii="Arial" w:cs="Arial" w:eastAsia="Arial" w:hAnsi="Arial"/>
          <w:sz w:val="18"/>
          <w:szCs w:val="18"/>
          <w:i w:val="1"/>
          <w:iCs w:val="1"/>
          <w:color w:val="auto"/>
        </w:rPr>
        <w:t>Z-CIS</w:t>
      </w:r>
      <w:r>
        <w:rPr>
          <w:rFonts w:ascii="Arial" w:cs="Arial" w:eastAsia="Arial" w:hAnsi="Arial"/>
          <w:sz w:val="18"/>
          <w:szCs w:val="18"/>
          <w:color w:val="auto"/>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corrosion management processes, NTIC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offers unique corrosion management and consulting services to target customers. This ZERUST® corrosion inhibition system (known as Z-CIS®) leverages NTIC’s global network to dispatch highly-trained technical service engineers to customer sites to solve complex corrosion problems. Several major automotive companies and their automotive parts suppliers have used NTIC’s Z</w:t>
      </w:r>
      <w:r>
        <w:rPr>
          <w:rFonts w:ascii="MS PGothic" w:cs="MS PGothic" w:eastAsia="MS PGothic" w:hAnsi="MS PGothic"/>
          <w:sz w:val="18"/>
          <w:szCs w:val="18"/>
          <w:color w:val="auto"/>
        </w:rPr>
        <w:t>‑</w:t>
      </w:r>
      <w:r>
        <w:rPr>
          <w:rFonts w:ascii="Arial" w:cs="Arial" w:eastAsia="Arial" w:hAnsi="Arial"/>
          <w:sz w:val="18"/>
          <w:szCs w:val="18"/>
          <w:color w:val="auto"/>
        </w:rPr>
        <w:t>CIS® system.</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ZERUST</w:t>
      </w:r>
      <w:r>
        <w:rPr>
          <w:rFonts w:ascii="Arial" w:cs="Arial" w:eastAsia="Arial" w:hAnsi="Arial"/>
          <w:sz w:val="16"/>
          <w:szCs w:val="16"/>
          <w:color w:val="auto"/>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engineered corrosion</w:t>
      </w:r>
      <w:r>
        <w:rPr>
          <w:rFonts w:ascii="Arial" w:cs="Arial" w:eastAsia="Arial" w:hAnsi="Arial"/>
          <w:sz w:val="16"/>
          <w:szCs w:val="16"/>
          <w:i w:val="1"/>
          <w:iCs w:val="1"/>
          <w:color w:val="auto"/>
        </w:rPr>
        <w:t xml:space="preserve"> </w:t>
      </w:r>
      <w:r>
        <w:rPr>
          <w:rFonts w:ascii="Arial" w:cs="Arial" w:eastAsia="Arial" w:hAnsi="Arial"/>
          <w:sz w:val="16"/>
          <w:szCs w:val="16"/>
          <w:color w:val="auto"/>
        </w:rPr>
        <w:t>inhibiting solutions specifically for the mitigation of corrosion of the types of capital assets used in the petroleum and chemical process industries and has targeted the sale of these ZERUST® corrosion solutions to potential customers in the oil and gas industry. NTIC’s consolidated net sales in fiscal 2021 included $3,793,466 in sales made to customers in the oil and gas industry, an increase of 36.3% from such sales in fiscal 2020. NTIC anticipates that its sales of ZERUST® products and services into the oil and gas industry will continue to remain subject to significant volatility, specifically due to economic factors, such as potential crude oil price changes and global production slowdowns caused by travel and other restrictions that may be reinstated as a result of the COVID-19 pandemic. NTIC anticipates that its sales of ZERUST® products and services into the oil and gas industry may be subject to additional volatility due to uncertainty caused by certain environmental policies of the current administration.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Europe and the Middle East are a small but strategically important part of the sales growth picture.</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NTIC believes that its ZERUST®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NTIC’s rust and corrosion inhibiting products for the oil and gas industry include ZERUST® Flange Savers®, ZERUST® ReCAST-SSB solutions, and ZERUST® chemicals, including Zerion powders and gels, in addition to many of the standard industrial ZERUST® rust and corrosion inhibiting products previously described.</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ind w:right="280"/>
        <w:spacing w:after="0" w:line="291" w:lineRule="auto"/>
        <w:rPr>
          <w:sz w:val="20"/>
          <w:szCs w:val="20"/>
          <w:color w:val="auto"/>
        </w:rPr>
      </w:pPr>
      <w:r>
        <w:rPr>
          <w:rFonts w:ascii="Arial" w:cs="Arial" w:eastAsia="Arial" w:hAnsi="Arial"/>
          <w:sz w:val="16"/>
          <w:szCs w:val="16"/>
          <w:color w:val="auto"/>
        </w:rPr>
        <w:t>ZERUST®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ZERUST® Zerion powder-based inhibitor solutions include the following:</w:t>
      </w:r>
    </w:p>
    <w:p>
      <w:pPr>
        <w:spacing w:after="0" w:line="225" w:lineRule="exact"/>
        <w:rPr>
          <w:sz w:val="20"/>
          <w:szCs w:val="20"/>
          <w:color w:val="auto"/>
        </w:rPr>
      </w:pPr>
    </w:p>
    <w:p>
      <w:pPr>
        <w:ind w:left="660" w:right="1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23" w:lineRule="exact"/>
        <w:rPr>
          <w:rFonts w:ascii="Arial" w:cs="Arial" w:eastAsia="Arial" w:hAnsi="Arial"/>
          <w:sz w:val="16"/>
          <w:szCs w:val="16"/>
          <w:color w:val="auto"/>
        </w:rPr>
      </w:pPr>
    </w:p>
    <w:p>
      <w:pPr>
        <w:ind w:left="660" w:right="2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 internals.</w:t>
      </w:r>
    </w:p>
    <w:p>
      <w:pPr>
        <w:spacing w:after="0" w:line="123" w:lineRule="exact"/>
        <w:rPr>
          <w:rFonts w:ascii="Arial" w:cs="Arial" w:eastAsia="Arial" w:hAnsi="Arial"/>
          <w:sz w:val="16"/>
          <w:szCs w:val="16"/>
          <w:color w:val="auto"/>
        </w:rPr>
      </w:pPr>
    </w:p>
    <w:p>
      <w:pPr>
        <w:ind w:left="660" w:right="7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Natur-Tec</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Resin Compounds and Finished Products. </w:t>
      </w:r>
      <w:r>
        <w:rPr>
          <w:rFonts w:ascii="Arial" w:cs="Arial" w:eastAsia="Arial" w:hAnsi="Arial"/>
          <w:sz w:val="17"/>
          <w:szCs w:val="17"/>
          <w:color w:val="auto"/>
        </w:rPr>
        <w:t>NTIC manufactures and sells a broad range of bioplastic packaging solutions, including bio-based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certified compostable (fully biodegradable) polymer resin compounds, and finished products under the Natur-Tec® brand. NTIC’s consolidated net sales in fiscal 2021 included $10,939,385 in sales of Natur-Tec® resins and finished products, a decrease of 16.9% compared to sales in fiscal 2020.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commercial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and India,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commercially compostable, or both.</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Natur-Tec® resins and finished products sales in North America and finished product sales at NTIC’s majority-owned subsidiary in India, Natur-Tec India Private Limited, experienced reduced demand globally as a result of the COVID-19 pandemic. The COVID-19 pandemic continues to have an impact on demand from many large users of bioplastics, including college campuses, stadiums, arenas, restaurants, and corporate office complexes. These are expected to be some of the last businesses to re-open, and many of these institutions have still not reopened to pre-COVID capacity. Furthermore, production across the apparel industry has declined sharply, further decreasing demand for our Natur-Tec bioplastic bags, which have become an important part of the sustainability initiatives within this industry.</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Resin Compounds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Natur-Tec® resin compounds are produced by blending commonly available base resins, such as Ecoflex® from BASF, Ingeo® PLA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NatureWorks LLC, and Luminy®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 resin compounds are engineered for high performance, ease of processing, and reduced cost compared to most other bio-plastic materials and can be processed by converters using conventional plastic manufacturing processes and equipment.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right="1080"/>
        <w:spacing w:after="0" w:line="277" w:lineRule="auto"/>
        <w:rPr>
          <w:sz w:val="20"/>
          <w:szCs w:val="20"/>
          <w:color w:val="auto"/>
        </w:rPr>
      </w:pPr>
      <w:r>
        <w:rPr>
          <w:rFonts w:ascii="Arial" w:cs="Arial" w:eastAsia="Arial" w:hAnsi="Arial"/>
          <w:sz w:val="18"/>
          <w:szCs w:val="18"/>
          <w:color w:val="auto"/>
        </w:rPr>
        <w:t>Natur-Tec® resin compounds are sold in several grades tailored for a variety of applications, such as blown-film extrusion, profile extrusion, thermoforming, extrusion coating, and injection molding.</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Natur-Tec® flexible film resin compounds are fully commercially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 film resin compounds can be used to produce film for applications, such as bags, including compost bags, lawn and leaf bags, pet waste collection bags, and carry-out bags, agricultural film, and consumer and industrial packaging. Natur-Tec® film resin compounds are also used to produce bags and covers for branded apparel packaging and to manufacture specialty foodservice items, such as compostable drinking straws, thermoformed lids and disposable food-handling gloves.</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Natur-Tec® compostable extrusion coating resin compounds are bio-based and biodegradable and are designed to replace conventional plastic materials for extrusion coating applications. Natur-Tec®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 extrusion coating resin compounds provide good adhesion to paper, an excellent print surface, and good heat seal strength and the coating material is suitable for food contact applications, including both hot and cold applications. Natur-Tec® extrusion coating resin compounds can be used for coating paper and paperboards for the manufacture of disposable cups, plates, and other foodservice items.</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and are designed to meet the requirements of international standards for compostable plastics, such as ASTM D6400 and EN 13432. Natur-Tec® compostable injection molding resin compounds can be used for injection molded plastic applications, such as cutlery, pens, hangers, containers, and packaging. Natur-Tec® bio-based injection molding resin compounds are made with at least 90% bio-based/renewable resource-based materials, per the ASTM D6866 standard, and are meant to enhance sustainability by replacing petroleum-based plastics. Natur-Tec® bio-based injection molding resin compounds exhibit the same properties as conventional plastic materials and can be used in applications such as automotive components, consumer goods, electronics, medical products, furniture, and packaging.</w:t>
      </w:r>
    </w:p>
    <w:p>
      <w:pPr>
        <w:spacing w:after="0" w:line="17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Finished Products</w:t>
      </w:r>
      <w:r>
        <w:rPr>
          <w:rFonts w:ascii="Arial" w:cs="Arial" w:eastAsia="Arial" w:hAnsi="Arial"/>
          <w:sz w:val="18"/>
          <w:szCs w:val="18"/>
          <w:color w:val="auto"/>
        </w:rPr>
        <w:t>. Natur-Tec® finished products include totally biodegradable and compostable trash bags, agricultural film, and other single-use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disposable products, such as compostable cutlery and food and consumer goods packaging currently marketed under the Natur-Bag® or Natur-Ware® brands.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Natur-Bag®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wholesalers and distributors. The Natur-Bag® products are manufactured from the Natur-Tec® flexible film resin compounds and thus are fully biodegradable and compostable.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Natur-Ware® product line consists of bio-based and compostable cutlery made from the Natur-Tec® compostable injection molding resin compounds.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Natur-Ware® cutlery can be composted along with food scraps in zero-waste programs.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 w:name="page12"/>
    <w:bookmarkEnd w:id="11"/>
    <w:p>
      <w:pPr>
        <w:ind w:right="40"/>
        <w:spacing w:after="0" w:line="263" w:lineRule="auto"/>
        <w:rPr>
          <w:sz w:val="20"/>
          <w:szCs w:val="20"/>
          <w:color w:val="auto"/>
        </w:rPr>
      </w:pPr>
      <w:r>
        <w:rPr>
          <w:rFonts w:ascii="Arial" w:cs="Arial" w:eastAsia="Arial" w:hAnsi="Arial"/>
          <w:sz w:val="18"/>
          <w:szCs w:val="18"/>
          <w:color w:val="auto"/>
        </w:rPr>
        <w:t>Both Natur-Bag® and Natur-Ware® products are certified fully commercially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In the United States, NTIC markets its ZERUST® rust and corrosion inhibiting products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Prior to placing an order, NTIC’s technical service consultants work directly with the end users of NTIC’s ZERUST® products to analyze their specific corrosion prevention needs and develop systems to meet their performance requirements.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China, NTIC sells its products and services through NTIC China. NTIC has wholly-owned or majority-owned subsidiaries to conduct its business in Brazil, Mexico, Vietnam and Singapore. In addition, effective as of September 1, 2021, NTIC purchased the remaining 50% ownership interest in its Indian joint venture, Harita-NTI Limited, and will continue selling its ZERUST products in India through this wholly-owned subsidiary.</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Additionally, NTIC has worked to adapt its marketing activities in light of the COVID-19 pandemic. NTIC continues to believe the sale of its ZERUST® corrosion prevention solutions to customers in the oil and gas industry will involve long sales cycles, likely including multi-year trial periods with each user and a slow integration process thereafter.</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Natur-Tec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Resin Compounds and Finished Products</w:t>
      </w:r>
      <w:r>
        <w:rPr>
          <w:rFonts w:ascii="Arial" w:cs="Arial" w:eastAsia="Arial" w:hAnsi="Arial"/>
          <w:sz w:val="18"/>
          <w:szCs w:val="18"/>
          <w:color w:val="auto"/>
        </w:rPr>
        <w:t>. In the United States, NTIC markets its Natur-Tec® resin compounds and finished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 network of national and regional distributors and independent manufacturer’s sales representatives and two NTIC direct sales employees as of August 31, 2021. Target customers for Natur-Tec®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 resin compounds include plastics converters and foodserviceware brands that would purchase Natur-Tec® resin compounds to manufacture and sell their own finished bio-based and compostable end products, such as film, bags, and cutlery. Additionally, NTIC has targeted retailers and customers that may have applications for our products related to the COVID-19 pandemic.</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Internationally, NTIC uses Natur-Tec India, Natur Tec Lanka, NTIC China and a network of international distributors to market its Natur-Tec® resin compounds and finished products. The government of India recently announced a phased ban on the manufacture and sale of single-use plastics beginning in July 2022. The first phase bans earbuds and plastic sticks used in balloons and ice cream. The second phase bans plastic cigarette packets and plastic bags less than 100 microns thick. Notably, compostable plastics are exempt from this ban. Accordingly, NTIC expects the market in India for bio-plastic packaging solutions to continue to grow substantially. Similarly, in the last fiscal year, NTIC saw a rise in the sales of Natur-Tec® products in China and anticipates that sales will continue to grow.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 rust and corrosion inhibiting products. Nonetheless, the commoditization of certain of NTIC’s ZERUST®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and confidence in old approaches, as well as the complexity of the buying organizations. Some of NTIC’s competitors with respect to its traditional ZERUST®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 products.</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 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NTIC also has encountered in the past and could continue to encounter additional supply constraints for the base polymer resins used to manufacture NTIC’s Natur-Tec® resin compounds and finished products since there are a limited number of suppliers of such base polymer resins and limited capacity for their production.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NTIC anticipates that it will spend between $4,400,000 and $4,800,000 in fiscal 2022 on research and development activities.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w:t>
      </w:r>
    </w:p>
    <w:p>
      <w:pPr>
        <w:spacing w:after="0" w:line="2" w:lineRule="exact"/>
        <w:rPr>
          <w:sz w:val="20"/>
          <w:szCs w:val="20"/>
          <w:color w:val="auto"/>
        </w:rPr>
      </w:pPr>
    </w:p>
    <w:p>
      <w:pPr>
        <w:ind w:right="100" w:firstLine="8"/>
        <w:spacing w:after="0" w:line="277" w:lineRule="auto"/>
        <w:tabs>
          <w:tab w:leader="none" w:pos="185" w:val="left"/>
        </w:tabs>
        <w:numPr>
          <w:ilvl w:val="0"/>
          <w:numId w:val="6"/>
        </w:numPr>
        <w:rPr>
          <w:rFonts w:ascii="Arial" w:cs="Arial" w:eastAsia="Arial" w:hAnsi="Arial"/>
          <w:sz w:val="17"/>
          <w:szCs w:val="17"/>
          <w:color w:val="auto"/>
        </w:rPr>
      </w:pPr>
      <w:r>
        <w:rPr>
          <w:rFonts w:ascii="Arial" w:cs="Arial" w:eastAsia="Arial" w:hAnsi="Arial"/>
          <w:sz w:val="17"/>
          <w:szCs w:val="17"/>
          <w:color w:val="auto"/>
        </w:rPr>
        <w:t>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and several new applications are pending.</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NTIC’s ZERUST® rust and corrosion inhibiting products are manufactured according to NTIC’s specifications primarily by selected independent sub-contractors under trade secrecy agreements and/or license agreements. In addition, NTIC manufactures select ZERUST® rust and corrosion inhibiting products, consisting primarily of liquids and powders, at its corporate headquarters location in Circle Pines, Minnesota.</w:t>
      </w:r>
    </w:p>
    <w:p>
      <w:pPr>
        <w:spacing w:after="0" w:line="16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NTIC’s Natur-Tec® resin compounds and finished products are produced at facilities in India, China, Malaysia, and the United States. NTIC’s Natur-Tec® resin compounds can be shipped to manufacturing facilities around the world, where they then can be converted into finished products, such as film or piece of cutlery. NTIC’s Natur-Tec® finished products are manufactured using NTIC’s Natur-Tec® resin compounds by select sub-contractors.</w:t>
      </w:r>
    </w:p>
    <w:p>
      <w:pPr>
        <w:spacing w:after="0" w:line="14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NTIC does not typically carry excess quantities of raw materials because of historically widespread availability for such materials from various suppliers. However, with respect to its Natur-Tec® resin compounds and finished products, there are a limited number of suppliers of the base resins used to manufacture the resin compounds and finished products. Additionally, there is growing demand for these base resins, which has caused cost increases and, more recently, supply issues. In the past and during fiscal year 2021, NTIC has experienced some delays in obtaining these base resins. Due to supply chain disruptions associated with the COVID-19 pandemic and otherwise, NTIC experienced longer lead times for raw materials, was forced to find new suppliers of certain raw materials, and experienced raw material cost increases during fiscal 2021 compared to prior fiscal years. It is anticipated that these worldwide disruption in supply issues will continue throughout fiscal year 2022. Additionally, during fiscal year 2021, extreme weather caused supply chain disruptions and caused delays in receiving base resins.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the worldwide disruption in supply issues, may not allow NTIC time to replace these sources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had an estimated order backlog of $4,192,000 as of August 31, 2021, compared to $3,593,000 as of August 31, 2020, which was generally across all business units. Sales relating to this backlog are expected to be realized during first quarter of fiscal 2022. These are orders that are held by NTIC pending release instructions from the customers to be used for just-in-time production. Customers generally place orders on an “as needed” basis and expect delivery within a relatively short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 ICT® packaging products in protecting metal food containers and processing equipment. In addition, the manufacture, sale and use of NTIC’s Natur-Tec®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August 31, 2021, NTIC had a total of 78 full-time employees located in North America, consisting of 21 in sales and marketing, 19 in research and development and lab, 27 in administration, and 11 in production. As of August 31, 2021, NTIC’s wholly-owned subsidiary in China had 35 full-time employees, its majority-owned subsidiary in Brazil had 20 full-time employees, its majority-owned subsidiary in India had 9 full-time employees, its wholly owned subsidiary in Mexico had no full-time employees, and its holding company, NTI Asean, had no full-time employees. Effective as of September 1, 2021, NTIC purchased the remaining 50% ownership interest in its former Indian joint venture, Harita-NTI Limited, and will continue selling its ZERUST products in India through this wholly-owned subsidiary. Harita-NTI has 58 full-time employees. There are no unions representing NTIC’s employees, and NTIC believes that its relations with its employees are good.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Environment</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Health, safety and environment (HSE) are the cornerstone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 protection and improvements in a timely manner consistent with available technology.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20"/>
        <w:spacing w:after="0" w:line="293" w:lineRule="auto"/>
        <w:rPr>
          <w:sz w:val="20"/>
          <w:szCs w:val="20"/>
          <w:color w:val="auto"/>
        </w:rPr>
      </w:pPr>
      <w:r>
        <w:rPr>
          <w:rFonts w:ascii="Arial" w:cs="Arial" w:eastAsia="Arial" w:hAnsi="Arial"/>
          <w:sz w:val="16"/>
          <w:szCs w:val="16"/>
          <w:color w:val="auto"/>
        </w:rPr>
        <w:t>NTIC is guided by its Policy Statement on HSE, which sets forth NTIC’s HSE objectives, including ensuring that all activities across the value chain are conducted in a manner which is consistent with NTIC’s quality management standard and HSE programs, ensuring that business activities are conducted to prevent harm and protect health and safety, and developing, manufacturing, distributing and marketing products and services with full regard for HSE aspects. To accomplish these objectives, NTIC intends to, among other things, establish targets within its quality management standard and HSE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 objectives.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Diversity and inclusion are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treated with respect and dignity, can contribute fully, and have equal opportunities. NTIC has worked to build a diverse and inclusive workforce and is committed to equal opportunity. NTIC invests in building diverse talent pools and provides training to improve skills where appropriate. NTIC upholds and supports the right to equal treatment without discrimination or harassment.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NTIC offers an educational assistance benefit program to eligible employees. NTIC may reimburse all or part of the registration and tuition costs for full-time employees who continue their education in a work-related field. In addition to educational assistance for formal education, NTIC may arrange training programs that enable employees to progress in their technical, commercial, or financial knowledge of NTIC’s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Values and Ethics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that are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Arial" w:cs="Arial" w:eastAsia="Arial" w:hAnsi="Arial"/>
          <w:sz w:val="17"/>
          <w:szCs w:val="17"/>
          <w:i w:val="1"/>
          <w:iCs w:val="1"/>
          <w:color w:val="auto"/>
        </w:rPr>
        <w:t>Part II. Item 7.</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660" w:right="4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worldwide disruption in supply issues on NTIC’s business, operating results and financial condition, which will likely continue throughout fiscal year 2022, regardless of the status of the COVID-19 pandemic;</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NTIC’s recent acquisition of the remaining 50% ownership interest in its Indian joint venture, Harita-NTI;</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 including supply chain disruptions and weather related impacts;</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7" w:name="page18"/>
    <w:bookmarkEnd w:id="17"/>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prices, which may affect sales of NTIC’s ZERUST® products and services to the oil and gas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operations in China, and the risks associated therewith;</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NTIC’s effective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I. Item 1A. Risk Factors</w:t>
      </w:r>
      <w:r>
        <w:rPr>
          <w:rFonts w:ascii="Arial" w:cs="Arial" w:eastAsia="Arial" w:hAnsi="Arial"/>
          <w:sz w:val="18"/>
          <w:szCs w:val="18"/>
          <w:color w:val="auto"/>
        </w:rPr>
        <w:t>.”</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two individuals named below have been designated by NTIC’s Board of Directors as “executive officers” of NTIC. Their ages and the offices held, as of November 15,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62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Position with NTIC</w:t>
            </w: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1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54</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Matthew C. Wolsfeld</w:t>
            </w:r>
          </w:p>
        </w:tc>
        <w:tc>
          <w:tcPr>
            <w:tcW w:w="1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47</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offices held, as of November 15,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62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Position with NTIC</w:t>
            </w: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52</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and Director – Global Market Development – Natur-Tec®</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48</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and Director – Global Market Development – Oil &amp; Gas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Brian Haglund</w:t>
            </w:r>
          </w:p>
        </w:tc>
        <w:tc>
          <w:tcPr>
            <w:tcW w:w="1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37</w:t>
            </w:r>
          </w:p>
        </w:tc>
        <w:tc>
          <w:tcPr>
            <w:tcW w:w="7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of Operations – North America</w:t>
            </w: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 since November 2005. Prior to joining NTIC, Mr. Dalal was a Principal in the Worldwide Product Development Practice of PRTM, a management consultancy to technology-based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line="275" w:lineRule="auto"/>
        <w:rPr>
          <w:sz w:val="20"/>
          <w:szCs w:val="20"/>
          <w:color w:val="auto"/>
        </w:rPr>
      </w:pPr>
      <w:r>
        <w:rPr>
          <w:rFonts w:ascii="Arial" w:cs="Arial" w:eastAsia="Arial" w:hAnsi="Arial"/>
          <w:sz w:val="17"/>
          <w:szCs w:val="17"/>
          <w:color w:val="auto"/>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0" w:name="page21"/>
    <w:bookmarkEnd w:id="20"/>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material factors known to NTIC that could materially adversely affect its business, operating results, or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summary is not complete and should be read in conjunction with the risk factors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and Industry</w:t>
      </w:r>
    </w:p>
    <w:p>
      <w:pPr>
        <w:spacing w:after="0" w:line="23" w:lineRule="exact"/>
        <w:rPr>
          <w:sz w:val="20"/>
          <w:szCs w:val="20"/>
          <w:color w:val="auto"/>
        </w:rPr>
      </w:pPr>
    </w:p>
    <w:p>
      <w:pPr>
        <w:ind w:left="660" w:right="6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weakness in the global economy, and in particular in the United States, Europe, India and China, and in the automotive industry, may negatively impact NTIC’s business, operating results, and financial condition.</w:t>
      </w:r>
    </w:p>
    <w:p>
      <w:pPr>
        <w:ind w:left="660" w:right="2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has adversely impacted and will likely continue to adversely impact NTIC’s business, operating results and financial condition.</w:t>
      </w:r>
    </w:p>
    <w:p>
      <w:pPr>
        <w:ind w:left="660" w:right="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 disruptions could interrupt product manufacturing, increase product costs and result in lost sales, which may have a material adverse effect on NTIC’s business, operating results and financial condition.</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Disruptions to the distribution channels for NTIC’s products may negatively impact NTIC’s business, operating results, and financial condition.</w:t>
      </w:r>
    </w:p>
    <w:p>
      <w:pPr>
        <w:spacing w:after="0" w:line="32"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NTIC’s dependence on key suppliers puts NTIC at risk of interruptions in the availability of its products, which could reduce its net sales and adversely affect its operating results and harm its reputation.</w:t>
      </w:r>
    </w:p>
    <w:p>
      <w:pPr>
        <w:ind w:left="660" w:right="4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NTIC’s dependence on key suppliers puts NTIC at risk of interruptions in the availability of its products, which could reduce its net sales and adversely affect its operating results and harm its reputation.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prices for raw materials and components used in NTIC’s products could adversely affect NTIC’s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NTIC relies on others for its production and any interruptions of these arrangements could disrupt NTIC’s ability to fill its customers’ orders.</w:t>
      </w:r>
    </w:p>
    <w:p>
      <w:pPr>
        <w:spacing w:after="0" w:line="20" w:lineRule="exact"/>
        <w:rPr>
          <w:rFonts w:ascii="Arial" w:cs="Arial" w:eastAsia="Arial" w:hAnsi="Arial"/>
          <w:sz w:val="17"/>
          <w:szCs w:val="17"/>
          <w:color w:val="auto"/>
        </w:rPr>
      </w:pP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trade regulation, quotas, duties, or tariffs, caused by the changing U.S. and geopolitical environments or otherwise, may negatively impact NTIC’s business, operating results, and financial condition.</w:t>
      </w: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 w:lineRule="exact"/>
        <w:rPr>
          <w:rFonts w:ascii="Arial" w:cs="Arial" w:eastAsia="Arial" w:hAnsi="Arial"/>
          <w:sz w:val="16"/>
          <w:szCs w:val="16"/>
          <w:color w:val="auto"/>
        </w:rPr>
      </w:pPr>
    </w:p>
    <w:p>
      <w:pPr>
        <w:ind w:left="660" w:right="58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NTIC has limited staffing, faces challenges caused by its aging workforce and given its limited resources, it may not effectively manage its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Joint Ventures</w:t>
      </w:r>
    </w:p>
    <w:p>
      <w:pPr>
        <w:spacing w:after="0" w:line="23"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a significant portion of NTIC’s earnings results from its equity income from joint ventures which varies quarter to quarter, NTIC’s earnings are subject to quarterly fluctuations.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International Operations and the Foreign Markets in which NTIC Operates</w:t>
      </w:r>
    </w:p>
    <w:p>
      <w:pPr>
        <w:spacing w:after="0" w:line="23" w:lineRule="exact"/>
        <w:rPr>
          <w:sz w:val="20"/>
          <w:szCs w:val="20"/>
          <w:color w:val="auto"/>
        </w:rPr>
      </w:pPr>
    </w:p>
    <w:p>
      <w:pPr>
        <w:ind w:left="660" w:right="4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sales of NTIC’s products and services by its joint venture in Germany were to decline significantly or if NTIC’s relationships with this joint venture were to deteriorate significantly, NTIC’s operating results likely would be adversely affected.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NTIC’s recent acquisition of the remaining 50% ownership interest of Harita-NTI and any future similar acquisitions involve risk.</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NTIC China’s operations may be adversely affected by China’s evolving economic, political, and social conditions and intellectual property rights are difficult to enforce in China, which could harm NTIC’s business, results of operations, or financial condition.</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with respect to the Chinese legal system may adversely affect the operations of NTIC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the U.S. Foreign Corrupt Practices Act could subject NTIC to penalties and legal expenses.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NTIC’s earnings and changes in NTIC’s foreign currency translation adjustments.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uncertainty in developing markets could adversely affect NTIC’s revenue and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Products</w:t>
      </w:r>
    </w:p>
    <w:p>
      <w:pPr>
        <w:spacing w:after="0" w:line="23" w:lineRule="exact"/>
        <w:rPr>
          <w:sz w:val="20"/>
          <w:szCs w:val="20"/>
          <w:color w:val="auto"/>
        </w:rPr>
      </w:pPr>
    </w:p>
    <w:p>
      <w:pPr>
        <w:ind w:left="660" w:right="1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spacing w:after="0" w:line="1" w:lineRule="exact"/>
        <w:rPr>
          <w:rFonts w:ascii="Arial" w:cs="Arial" w:eastAsia="Arial" w:hAnsi="Arial"/>
          <w:sz w:val="16"/>
          <w:szCs w:val="16"/>
          <w:color w:val="auto"/>
        </w:rPr>
      </w:pPr>
    </w:p>
    <w:p>
      <w:pPr>
        <w:ind w:left="660" w:right="1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NTIC’s ZERUST®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1" w:lineRule="exact"/>
        <w:rPr>
          <w:rFonts w:ascii="Arial" w:cs="Arial" w:eastAsia="Arial" w:hAnsi="Arial"/>
          <w:sz w:val="16"/>
          <w:szCs w:val="16"/>
          <w:color w:val="auto"/>
        </w:rPr>
      </w:pPr>
    </w:p>
    <w:p>
      <w:pPr>
        <w:ind w:left="660" w:right="20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ind w:left="660" w:right="3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assurance can be provided that NTIC’s investments in additional research and development and marketing efforts and resources into the application of its corrosion prevention solutions into the oil and gas industry and the continued launch of its Natur-Tec® resin compounds and finished products will be successful.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NTIC’s strategy of expanding its corrosion prevention solutions into the oil and gas industry and continuing the expansion of its Natur-</w:t>
      </w:r>
    </w:p>
    <w:p>
      <w:pPr>
        <w:spacing w:after="0" w:line="20" w:lineRule="exact"/>
        <w:rPr>
          <w:rFonts w:ascii="Arial" w:cs="Arial" w:eastAsia="Arial" w:hAnsi="Arial"/>
          <w:sz w:val="17"/>
          <w:szCs w:val="17"/>
          <w:color w:val="auto"/>
        </w:rPr>
      </w:pPr>
    </w:p>
    <w:p>
      <w:pPr>
        <w:ind w:left="660" w:right="160"/>
        <w:spacing w:after="0" w:line="250" w:lineRule="auto"/>
        <w:rPr>
          <w:rFonts w:ascii="Arial" w:cs="Arial" w:eastAsia="Arial" w:hAnsi="Arial"/>
          <w:sz w:val="17"/>
          <w:szCs w:val="17"/>
          <w:color w:val="auto"/>
        </w:rPr>
      </w:pPr>
      <w:r>
        <w:rPr>
          <w:rFonts w:ascii="Arial" w:cs="Arial" w:eastAsia="Arial" w:hAnsi="Arial"/>
          <w:sz w:val="18"/>
          <w:szCs w:val="18"/>
          <w:color w:val="auto"/>
        </w:rPr>
        <w:t>Tec® bioplastics resin compounds and finished products is risky and may not prove to be successful, which could harm NTIC’s operating results and financial condition.</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NTIC’s dependence on manufacturing and logistical services provided by contractors could give rise to product defect or warranty liability.</w:t>
      </w:r>
    </w:p>
    <w:p>
      <w:pPr>
        <w:spacing w:after="0" w:line="20"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commercial success of NTIC’s Natur-Tec® resin compounds and finished products depends on the widespread market acceptance of products manufactured with bio-based and biodegradable resins.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 relies on its joint ventures, distributors, manufacturer’s sales representatives, and other agents to market and sell its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 may be subject to product liability claims or other claims arising out of the activities of its joint ventures, which could adversely affect NTIC and its business, and the sale of ZERUST® rust and corrosion inhibiting products into the oil and gas industry is risky in light of the hazards typically associated with such operations and the significant amount of potential liability involved.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sale of ZERUST® rust and corrosion inhibiting products into the oil and gas industry is somewhat seasonal and dependent upon oil prices.</w:t>
      </w:r>
    </w:p>
    <w:p>
      <w:pPr>
        <w:spacing w:after="0" w:line="32"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NTIC’s corrosion prevention solutions into the oil and gas industry and the continued launch of NTIC’s Natur-Tec® resin compounds and finished products may require additional capital in the future, which may not be available or may be available only on unfavorable terms.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Governmental Regulation, Laws, and Compliance</w:t>
      </w:r>
    </w:p>
    <w:p>
      <w:pPr>
        <w:spacing w:after="0" w:line="23" w:lineRule="exact"/>
        <w:rPr>
          <w:sz w:val="20"/>
          <w:szCs w:val="20"/>
          <w:color w:val="auto"/>
        </w:rPr>
      </w:pPr>
    </w:p>
    <w:p>
      <w:pPr>
        <w:ind w:left="660" w:right="2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NTIC’s effective tax rate could have a significant impact on NTIC’s financial position, results of operations, or cash flows.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NTIC’s operations are subject to regulation by the U.S. Food and Drug Administration.</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upon patents, trademark laws, trade secrets, and contractual provisions to protect its proprietary rights may not be sufficient to protect its intellectual property.</w:t>
      </w:r>
    </w:p>
    <w:p>
      <w:pPr>
        <w:ind w:left="660" w:right="10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compliance with generally accepted accounting principles any changes in such principles might adversely affect NTIC’s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w:t>
      </w:r>
    </w:p>
    <w:p>
      <w:pPr>
        <w:spacing w:after="0" w:line="23" w:lineRule="exact"/>
        <w:rPr>
          <w:sz w:val="20"/>
          <w:szCs w:val="20"/>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NTIC’s common stock is typically very low, leaving NTIC’s common stock open to risk of high volatility and the price and trading volume has been, and may continue to be, volatile.</w:t>
      </w:r>
    </w:p>
    <w:p>
      <w:pPr>
        <w:ind w:left="660" w:right="1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large percentage of NTIC’s outstanding common stock is held by insiders, and, as a result, the trading market for NTIC’s common stock is not as liquid as the stock of other public companies.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Business and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India and China, and in the automotive industry, may negatively impact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operating results, and financial condition.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U.S. and world economies may suffer from uncertainty, volatility, disruption, and other adverse conditions, such as the impact of the COVID-19 pandemic, and those conditions have adversely impacted and may continue to adversely impact the business community and the financial markets. Adverse economic and financial market conditions may negatively affect NTIC’s customers and its markets, thereby negatively impacting its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NTIC’s operating results are especially dependent upon the economic health of the economies in the United States, Europe, India and China. Since a significant portion of NTIC’s ZERUST® rust and corrosion inhibiting products and services are sold to customers in the automotive industry, adverse economic conditions affecting the automotive industry, in particular, may result in an adverse effect on NTIC’s net sales and its other operating results. Accordingly, any weakness in the global economy, particularly the United States, Europe, India and China, and in the automotive industry, including decreased production resulting from the ongoing microchip shortage, have negatively impacted and may continue to negatively impact NTIC’s business, operating results, and financial condition.</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will likely continue to adversely impact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operating results and financial condition.</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COVID-19 pandemic has resulted in a periodic, substantial curtailment of business activities worldwide and has caused, and may again cause, recessionary economic conditions in many countries, including the United States and many countries abroad. As part of efforts to contain the spread of COVID-19, many state, local and foreign governments at times imposed various restrictions on the conduct of business and travel, including lockdowns imposed in parts of China and India during fiscal 2021. While some of these restrictions have been curtailed or lifted, others have been reinstated or may be reinstated in the future. Government restrictions, such as stay-at-home orders, quarantines and worker absenteeism as a result of COVID-19 have led to a significant number of business closures and slowdowns. These business closures and slowdowns adversely impacted, and will likely continue to adversely impact, NTIC directly and have caused its customers and suppliers to slow or stop production, which has significantly disrupted and will likely continue to significantly disrupt NTIC’s sales, production and supply chain. These and other factors, such as uncertainty due to the Delta variant and other COVID-19 variants that may arise, contributed to NTIC experiencing significantly decreased global demand for its products and services during fiscal 2021 and fiscal 2020 and increased supply chain and shipping costs and disruptions, which will likely continue during fiscal 2022. This significantly decreased demand has had, and will likely continue to have, a material adverse effect on NTIC’s business, operating results and financial condition in fiscal 2022. Due to the international reach of COVID-19, NTIC anticipates that its international joint ventures will continue to be adversely impacted by the causes listed above, as well as other local issues that may arise, which will likely continue to have a material adverse effect on NTIC’s joint venture operations and equity in income from joint ventures.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or supply chain disruptions to cease. A prolonged situation could have a significant adverse effect on economies and financial markets globally, potentially deepening the current worldwide economic downturn, which could have a significant adverse effect on NTIC’s business, operating results and financial condition.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color w:val="auto"/>
        </w:rPr>
        <w:t>The extent to which the COVID-19 pandemic impacts NTIC’s business will likely depend on numerous evolving factors that NTIC may not be able to accurately predict, including: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acceptance and efficacy of vaccines;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spread of COVID-19 variants;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events could materially adversely affect NTIC’s business, operating results and financial condition. In addition, the COVID-19 pandemic has already adversely affected and could continue to adversely affect NTIC’s stock price.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Supply chain disruptions could interrupt product manufacturing, increase product costs and result in lost sales, which may have a material adverse effect on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operating results and financial condition.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Supply chain disruptions, resulting from factors such as the COVID-19 pandemic, labor supply shortages and shipping container shortages, have impacted, and may continue to impact, NTIC and its third-party manufacturers. These disruptions have resulted in longer lead times and increased product costs and shipping expenses. While NTIC has taken steps to minimize the impact of these increased costs by working closely with its suppliers and customers, there can be no assurances that unforeseen events impacting the supply chain will not have a material adverse effect on NTIC in the future. Additionally, the impacts supply chain disruptions have on NTIC’s third-party manufacturers are not within NTIC’s control. It is not currently possible to predict how long it will take for these supply chain disruptions to cease.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to the distribution channels for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products may negatively impact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business, operating results, and financial condition.</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fiscal 2021, supply chain disruptions began to emerge because of the COVID-19 pandemic, shipping container shortages, and the changes in global demand. Ocean freight capacity issues continue to persist worldwide as there is much greater demand for shipping and reduced capacity and equipment, which has resulted in significantly longer shipping times and significant price increases per shipping container. Shipping companies are charging priority booking fees to allocate space as they have fewer ships and workers operating. While NTIC continues to manage and evaluate its freight carriers, there is no indication that these shipping delays and increased shipping container rates will return to historical levels in the near-term, and these delays and increases could have a material adverse effect on NTIC’s consolidated results of operations. Furthermore, transportation delays, increases on shipping containers, more extensive travel restrictions,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dependence on key suppliers puts NTIC at risk of interruptions in the availability of its products, which could reduce its net sales and adversely affect its operating results and harm its reputation.</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 are the manufacturers of plastic resins used in Natur-Tec®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ind w:right="40"/>
        <w:spacing w:after="0" w:line="271" w:lineRule="auto"/>
        <w:rPr>
          <w:sz w:val="20"/>
          <w:szCs w:val="20"/>
          <w:color w:val="auto"/>
        </w:rPr>
      </w:pPr>
      <w:r>
        <w:rPr>
          <w:rFonts w:ascii="Arial" w:cs="Arial" w:eastAsia="Arial" w:hAnsi="Arial"/>
          <w:sz w:val="17"/>
          <w:szCs w:val="17"/>
          <w:color w:val="auto"/>
        </w:rPr>
        <w:t>Shortages of raw materials, quality control problems, production capacity constraints, or delays by suppliers could negatively affect NTIC’s ability to meet its production obligations and result in increased prices for affected parts. For example, the rapid growth in demand for bioplastics products globally has increased the demand and the price for plastic resins, and limited suppliers of such plastic resins may experience shortages caused by demand outpacing their production capabilities, which could result in NTIC’s inability to produce its Natur-Tec® products promptly or in the volumes demanded. Additionally, the impact of the COVID-19 pandemic has caused supply shortages, which also could result in NTIC’s inability to produce its Natur-Tec® products. These and other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products could adversely affect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uses certain raw materials and components in its products, including in particular plastic resins, which are subject to price increases. In light of increased global demand for bioplastics, the prices of certain plastic resins have increased, which could adversely affect gross margins on NTIC’s Natur-Tec® products. The COVID-19 pandemic has caused additional shortages in certain raw materials and components, which could adversely affect the cost and/or production of NTIC’s products. Additionally, changes to international trade agreements could result in additional tariffs, duties, or other charges on raw materials or components we import into the U.S. Increases in prices for raw materials and components used in NTIC’s products could adversely affect NTIC’s gross margins and other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others for its production and any interruptions of these arrangements could disrupt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ability to fill its customers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orders.</w:t>
      </w:r>
    </w:p>
    <w:p>
      <w:pPr>
        <w:spacing w:after="0" w:line="24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to trade regulation, quotas, duties, or tariffs, caused by the changing U.S. and geopolitical environments or otherwise, may negatively impact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operating results, and financial condition.</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significant uncertainty about the future relationship between the United States and other countries with respect to trade policies, taxes, government regulations, and tariffs. The Trump administration had signaled support for implementing and, in some instances, proposed or took action with respect to major changes to certain trade policies in an effort to encourage U.S. production. Such changes included the imposition of additional tariffs on imported products in an effort to address trade imbalances, specifically with China, the withdrawal of the U.S. from the Trans-Pacific Partnership, and the renegotiation of the North American Free Trade Agreement. In response to such actions, certain countries imposed retaliatory actions against the U.S. NTIC and its subsidiaries and joint ventures engage in sales outside of the United States and is, therefore, negatively impacted by such actions. Any changes or potential changes in trade policies in the United States, including changes made by the Biden administration, and the potential corresponding actions by other countries in which NTIC does business could adversely and materially affect NTIC’s business, results of operations, and financial condition.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 w:name="page26"/>
    <w:bookmarkEnd w:id="25"/>
    <w:p>
      <w:pPr>
        <w:ind w:right="280"/>
        <w:spacing w:after="0" w:line="381" w:lineRule="auto"/>
        <w:rPr>
          <w:sz w:val="20"/>
          <w:szCs w:val="20"/>
          <w:color w:val="auto"/>
        </w:rPr>
      </w:pPr>
      <w:r>
        <w:rPr>
          <w:rFonts w:ascii="Arial" w:cs="Arial" w:eastAsia="Arial" w:hAnsi="Arial"/>
          <w:sz w:val="15"/>
          <w:szCs w:val="15"/>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business, operating results, and financial condition.</w:t>
      </w:r>
    </w:p>
    <w:p>
      <w:pPr>
        <w:spacing w:after="0" w:line="10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and withdrawal from the Trans-Pacific Partnership,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we have not experienced any material labor shortage to date, we have recently observed an overall tightening and increasingly competitive labor market. A sustained labor shortage or increased turnover rates within our employee base, caused by COVID-19 or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caused by COVID-19 or as a result of general macroeconomic factors, could have a material adverse impact on NTIC’s operations, results of operations, liquidity or cash flows.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NTIC faces challenges caused by its aging workforce, and NTIC may not be able to recruit, train and retain adequate replacements for its qualified and skilled employees.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the adequate qualifications and experience could result in reduced revenues, loss of customer goodwill and a material negative impact on our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Given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limited resources, it may not effectively manage its growth.</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NTIC’s strategy to grow its business, including in particular its ZERUST® rust and corrosion inhibiting products for the oil and gas industry and its Natur-Tec®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Joint Ventures</w:t>
      </w:r>
    </w:p>
    <w:p>
      <w:pPr>
        <w:spacing w:after="0" w:line="2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2021, NTIC recognized $5,964,260 in fees and $3,665,365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earnings results from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equity income from joint ventures, and since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equity income from joint ventures varies from quarter to quarter,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earnings are subject to quarterly fluctuations.</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International Business and the Foreign Markets in which NTIC Operates</w:t>
      </w:r>
    </w:p>
    <w:p>
      <w:pPr>
        <w:spacing w:after="0" w:line="229"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0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NTIC sells products and services directly, through its wholly-owned and majority-owned subsidiaries, and indirectly, via a network of joint ventures, independent distributors, manufacturer’s sales representatives, and agents in over 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ind w:right="60"/>
        <w:spacing w:after="0" w:line="272" w:lineRule="auto"/>
        <w:rPr>
          <w:sz w:val="20"/>
          <w:szCs w:val="20"/>
          <w:color w:val="auto"/>
        </w:rPr>
      </w:pPr>
      <w:r>
        <w:rPr>
          <w:rFonts w:ascii="Arial" w:cs="Arial" w:eastAsia="Arial" w:hAnsi="Arial"/>
          <w:sz w:val="17"/>
          <w:szCs w:val="17"/>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66" w:lineRule="exact"/>
        <w:rPr>
          <w:sz w:val="20"/>
          <w:szCs w:val="20"/>
          <w:color w:val="auto"/>
        </w:rPr>
      </w:pPr>
    </w:p>
    <w:p>
      <w:pPr>
        <w:ind w:left="660" w:right="8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660" w:right="4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difficulties enforcing agreements and collecting receivables through certain foreign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or terrorist 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11"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Furthermore, in June 2016, the United Kingdom held a referendum in which voters approved an exit from the European Union, commonly referred to as “Brexit.” The United Kingdom officially terminated its membership of the European Union on January 31, 2020 and remained in a transition phase until December 31, 2020. The British government continues to negotiate the terms of the United Kingdom’s future relationship with the European Union.</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Although it is unknown what those terms will be, or whether an agreement will be reached, it is possible that there will be increased regulatory complexities, which could affect NTIC’s ability to sell its products in certain European Union countries. Brexit has created legal, political and economic uncertainty, which could subject NTIC to heightened risks in that region, including disruptions to trade and free movement of goods, services, and people to and from the United Kingdom, and increased foreign exchange volatility with respect to the British pound. NTIC does not know to what extent these changes will impact its business. Any of these effects of Brexit, and other similar referenda that NTIC cannot anticipate, could adversely affect its business, operations, and financial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right="520"/>
        <w:spacing w:after="0" w:line="263" w:lineRule="auto"/>
        <w:rPr>
          <w:sz w:val="20"/>
          <w:szCs w:val="20"/>
          <w:color w:val="auto"/>
        </w:rPr>
      </w:pPr>
      <w:r>
        <w:rPr>
          <w:rFonts w:ascii="Arial" w:cs="Arial" w:eastAsia="Arial" w:hAnsi="Arial"/>
          <w:sz w:val="18"/>
          <w:szCs w:val="18"/>
          <w:b w:val="1"/>
          <w:bCs w:val="1"/>
          <w:i w:val="1"/>
          <w:iCs w:val="1"/>
          <w:color w:val="auto"/>
        </w:rPr>
        <w:t>Out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joint ventures,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joint venture in Germany is the most significant in terms of assets and income to NTIC. If sales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products and services by this joint venture were to decline significantly or if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relationships with this joint venture were to deteriorate significantly,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likely would be adversely affected.</w:t>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in addition to a few other entities for fiscal 2020. Of the total equity in income from joint ventures of $7,465,214 during fiscal 2021, NTIC had equity in income from joint ventures of $4,400,403 attributable to EXCOR. Of the total fee income for services provided to joint ventures of $5,964,260 during fiscal 2021, fees of $920,902 were attributable to EXCOR. Accordingly, if sales of NTIC’s products and services by this joint venture were to decline significantly or if NTIC’s relationships with this joint venture were to deteriorate significantly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recent acquisition of the remaining 50% ownership interest of Harita-NTI and any future similar acquisitions involve risk.</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as of September 1, 2021, NTIC acquired the remaining 50% ownership interest in its Indian joint venture, Harita-NTI. It is possible that as part of its succession planning efforts with respect to its joint venture partners that NTIC may complete similar acquisitions in the future. Similar future acquisitions will depend, in part, on the availability of similar opportunities or other suitable acquisition candidates at acceptable prices, terms, and conditions and the availability of capital and personnel resources to complete such acquisitions and run and integrate the acquired business effectively. These acquisitions involve risk and may harm NTIC’s business, reputation, financial condition, and operating results. For instance, the benefits of the recent Harita-NTI acquisition or any future acquisition may take more time than expected to develop or integrate into NTIC’s operations, and NTIC cannot guarantee that either the Harita-NTI or any future acquisitions will, in fact, produce any benefits. Acquisitions, including the recent Harita-NTI acquisition, involve a number of risks, the occurrence of which could adversely affect NTIC’s business, reputation, financial condition, and operating results, including:</w:t>
      </w:r>
    </w:p>
    <w:p>
      <w:pPr>
        <w:spacing w:after="0" w:line="16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to manage and integrate the acquired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existing operations and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effectively manage the expanded operations;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or delays, which may be exacerbated by the impact of COVID-19, in integrating and assimilating information and financial systems, internal controls, operations, manufacturing processes and products of an acquired business or in realizing projected efficiencies, growth prospects, cost savings, and other synergies;</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customers or suppliers of the acquired businesses or adverse effects on existing business relationships with employees, customers or suppliers;</w:t>
      </w:r>
    </w:p>
    <w:p>
      <w:pPr>
        <w:ind w:left="660" w:right="1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write-off of significant amounts of goodwill, other intangible assets, and/or long-lived assets as a result of deterioration in the performance of an acquired business, adverse market conditions, changes in the competitive landscape, changes in laws or regulations that restrict activities of an acquired business, or as a result of a variety of other circumstances;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impact on overall profitability if NTIC’s expanded operations do not achieve the growth prospects, net sales, net earnings, cost and/or revenue synergies, or other financial results projected in NTIC’s valuation models, delays in the realization thereof or costs or charges incurred to achieve any revenue or cost synergies;</w:t>
      </w:r>
    </w:p>
    <w:p>
      <w:pPr>
        <w:spacing w:after="0" w:line="1" w:lineRule="exact"/>
        <w:rPr>
          <w:rFonts w:ascii="Arial" w:cs="Arial" w:eastAsia="Arial" w:hAnsi="Arial"/>
          <w:sz w:val="18"/>
          <w:szCs w:val="18"/>
          <w:color w:val="auto"/>
        </w:rPr>
      </w:pPr>
    </w:p>
    <w:p>
      <w:pPr>
        <w:jc w:val="both"/>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leverage and debt service requirements to pay acquisition purchase prices, which could in turn restrict NTIC’s ability to access additional capital when needed or limit its ability to pursue other important elements of its business strategy;</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undisclosed, contingent or other liabilities or problems, unanticipated costs associated with an acquisition; and</w:t>
      </w:r>
    </w:p>
    <w:p>
      <w:pPr>
        <w:ind w:left="660" w:right="22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acquisitions, incurrence of non-recurring charges, or other potential financial accounting or reporting impacts.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right="80"/>
        <w:spacing w:after="0" w:line="270" w:lineRule="auto"/>
        <w:rPr>
          <w:sz w:val="20"/>
          <w:szCs w:val="20"/>
          <w:color w:val="auto"/>
        </w:rPr>
      </w:pPr>
      <w:r>
        <w:rPr>
          <w:rFonts w:ascii="Arial" w:cs="Arial" w:eastAsia="Arial" w:hAnsi="Arial"/>
          <w:sz w:val="17"/>
          <w:szCs w:val="17"/>
          <w:color w:val="auto"/>
        </w:rPr>
        <w:t>In addition, effective internal controls are necessary for NTIC to provide reliable and accurate financial reports and to effectively prevent fraud. The integration of acquired businesses may result in NTIC’s systems and controls becoming increasingly complex and more difficult to manage. NTIC devotes significant resources and time to comply with the internal control over financial reporting requirements of the Sarbanes-Oxley Act of 2002. However, it cannot be certain that these measures will ensure that NTIC designs, implements, and maintains adequate control over its financial processes and reporting in the future, particularly in the context of acquisitions of other businesses. Any difficulties in the assimilation of acquired businesses into NTIC’s internal control framework could harm its operating results or cause NTIC to fail to meet its financial reporting obligations. Also, acquisitions require the consent of PNC Bank, National Association under NTIC’s loan agreement with PNC Bank. NTIC cannot predict whether such approvals would be forthcoming or the terms on which PNC Bank would approve such acquisitions. These risks, among others, could be heightened if NTIC completes a large acquisition or multiple transactions within a relatively short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NTIC China may be adversely affected by China</w:t>
      </w:r>
      <w:r>
        <w:rPr>
          <w:rFonts w:ascii="Arial" w:cs="Arial" w:eastAsia="Arial" w:hAnsi="Arial"/>
          <w:sz w:val="18"/>
          <w:szCs w:val="18"/>
          <w:color w:val="auto"/>
        </w:rPr>
        <w:t>’</w:t>
      </w:r>
      <w:r>
        <w:rPr>
          <w:rFonts w:ascii="Arial" w:cs="Arial" w:eastAsia="Arial" w:hAnsi="Arial"/>
          <w:sz w:val="18"/>
          <w:szCs w:val="18"/>
          <w:b w:val="1"/>
          <w:bCs w:val="1"/>
          <w:i w:val="1"/>
          <w:iCs w:val="1"/>
          <w:color w:val="auto"/>
        </w:rPr>
        <w:t>s evolving economic, political, and social conditions.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and changes in the rates or methods of taxation.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These laws, regulations, and interpretations could impose restrictions on NTIC’s and NTIC China’s ownership or operations or NTIC’s interests in China and could adversely affect NTIC’s business, results of operations, and financial condition.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Local regulations in China related to the recent electric power shortage may adversely affect NTIC China’s operations.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Although NTIC China’s operations have not been significantly impacted by regulations related to electric power shortages to date, such regulations may in the future decrease or shut down production or increase product costs, which could adversely affect NTIC’s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are difficult to enforce in China, which could harm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business, results of operations, or financial condition.</w:t>
      </w:r>
    </w:p>
    <w:p>
      <w:pPr>
        <w:spacing w:after="0" w:line="24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Chinese legal system may adversely affect the operations of NTIC China.</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42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earnings and changes in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foreign currency translation adjustments.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revenue and earnings.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the impact of the COVID-19 pandemic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Products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 rust and corrosion inhibiting products and services, which has led to decreased pricing and smaller margins for NTIC. Recently, NTIC has experienced lower margins on its contracts with Chinese automotive customers. NTIC anticipates that such intense competition likely will continue and that new competitors may emerge, including plastic extrusion companies, which would continue to adversely affect NTIC’s operating results.</w:t>
      </w:r>
    </w:p>
    <w:p>
      <w:pPr>
        <w:spacing w:after="0" w:line="1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ZERUST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rust and corrosion inhibiting products and services generate a significant portion of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net sales and the net sales of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joint ventures. Accordingly, if sales of these products and services were to decline, 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operating results would be adversely affected.</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NTIC’s ZERUST® rust and corrosion inhibiting products and services generate a significant portion of NTIC’s net sales and the net sales of NTIC’s joint ventures. During fiscal 2021, 80.6% of NTIC’s consolidated net sales were derived from sales of ZERUST®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16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resin compounds and finished products. No assurance can be provided, however, that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investments in these new markets and products will be successful and result in additional revenue to NTIC.</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an effort to increase net sales, NTIC has expanded the marketing of its corrosion prevention solutions into the oil and gas industry and its Natur-Tec®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 rust and corrosion inhibiting products and services in the oil and gas industry.</w:t>
      </w:r>
    </w:p>
    <w:p>
      <w:pPr>
        <w:spacing w:after="0" w:line="196"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strategy of expanding its corrosion prevention solutions into the oil and gas industry and continuing the expansion of its Natur-Tec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bioplastics resin compounds and finished products is risky and may not prove to be successful, which could harm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and financial condition.</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the expansion of its Natur-Tec®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w:t>
      </w:r>
      <w:r>
        <w:rPr>
          <w:rFonts w:ascii="Arial" w:cs="Arial" w:eastAsia="Arial" w:hAnsi="Arial"/>
          <w:sz w:val="16"/>
          <w:szCs w:val="16"/>
          <w:color w:val="auto"/>
        </w:rPr>
        <w:t>’</w:t>
      </w:r>
      <w:r>
        <w:rPr>
          <w:rFonts w:ascii="Arial" w:cs="Arial" w:eastAsia="Arial" w:hAnsi="Arial"/>
          <w:sz w:val="16"/>
          <w:szCs w:val="16"/>
          <w:b w:val="1"/>
          <w:bCs w:val="1"/>
          <w:i w:val="1"/>
          <w:iCs w:val="1"/>
          <w:color w:val="auto"/>
        </w:rPr>
        <w:t>s dependence on manufacturing and logistical services provided by contractors could give rise to product defect or warranty liability.</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3" w:name="page34"/>
    <w:bookmarkEnd w:id="33"/>
    <w:p>
      <w:pPr>
        <w:ind w:right="400"/>
        <w:spacing w:after="0" w:line="277" w:lineRule="auto"/>
        <w:rPr>
          <w:sz w:val="20"/>
          <w:szCs w:val="20"/>
          <w:color w:val="auto"/>
        </w:rPr>
      </w:pPr>
      <w:r>
        <w:rPr>
          <w:rFonts w:ascii="Arial" w:cs="Arial" w:eastAsia="Arial" w:hAnsi="Arial"/>
          <w:sz w:val="18"/>
          <w:szCs w:val="18"/>
          <w:b w:val="1"/>
          <w:bCs w:val="1"/>
          <w:i w:val="1"/>
          <w:iCs w:val="1"/>
          <w:color w:val="auto"/>
        </w:rPr>
        <w:t>The commercial success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Natur-Tec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 resin compounds and finished products. 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 resin compounds and finished products, a widening gap in the pricing for bioplastics versus petroleum-based plastics may reduce the size of the addressable market for NTIC’s Natur-Tec® resin compounds and finished products. In addition, the growth of the market will create some pressure on price for applications today considered commodities, including in particular NTIC’s current Natur-Tec® finished products.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its joint ventures, distributors, manufacturer</w:t>
      </w:r>
      <w:r>
        <w:rPr>
          <w:rFonts w:ascii="Arial" w:cs="Arial" w:eastAsia="Arial" w:hAnsi="Arial"/>
          <w:sz w:val="17"/>
          <w:szCs w:val="17"/>
          <w:color w:val="auto"/>
        </w:rPr>
        <w:t>’</w:t>
      </w:r>
      <w:r>
        <w:rPr>
          <w:rFonts w:ascii="Arial" w:cs="Arial" w:eastAsia="Arial" w:hAnsi="Arial"/>
          <w:sz w:val="17"/>
          <w:szCs w:val="17"/>
          <w:b w:val="1"/>
          <w:bCs w:val="1"/>
          <w:i w:val="1"/>
          <w:iCs w:val="1"/>
          <w:color w:val="auto"/>
        </w:rPr>
        <w:t>s sales representatives, and other agents to market and sell its products.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The sale of ZERUST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rust and corrosion inhibiting products into the oil and gas industry is risky in light of the hazards typically associated with such operations and the significant amount of potential liability involved, which could adversely affect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business if ZERUST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rust and corrosion inhibiting products are involved, even if the cause of such events was not related to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products.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Because NTIC sells its ZERUST®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spacing w:after="0" w:line="24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the past, NTIC has experienced some seasonality with respect to the sale of its ZERUST® rust and corrosion inhibiting products into the oil and gas industry, with sales during parts of the second and third fiscal quarters being adversely affected by winter in the United States. In addition, the sale of NTIC’s ZERUST® rust and corrosion inhibiting products into the oil and gas industry, particularly in the United States, has been and may continue to be hampered by low global crude oil prices. Low global crude oil prices have recently been caused by oversupply, price wars between Saudi Arabia and Russia and the impact of the COVID-19 pandemic. NTIC believes low global crude oil prices constrain capital improvement budgets of its existing and prospective customers and may result in personnel turnover at its oil and gas customers or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280"/>
        <w:spacing w:after="0" w:line="263" w:lineRule="auto"/>
        <w:rPr>
          <w:sz w:val="20"/>
          <w:szCs w:val="20"/>
          <w:color w:val="auto"/>
        </w:rPr>
      </w:pPr>
      <w:r>
        <w:rPr>
          <w:rFonts w:ascii="Arial" w:cs="Arial" w:eastAsia="Arial" w:hAnsi="Arial"/>
          <w:sz w:val="18"/>
          <w:szCs w:val="18"/>
          <w:b w:val="1"/>
          <w:bCs w:val="1"/>
          <w:i w:val="1"/>
          <w:iCs w:val="1"/>
          <w:color w:val="auto"/>
        </w:rPr>
        <w:t>The expansion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corrosion prevention solutions into the oil and gas industry and the continued launch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Natur-Tec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stockholders.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expansion of NTIC’s Natur-Tec® resin compounds and finished products will continue to require resources during fiscal 2022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Laws, and Compliance</w:t>
      </w:r>
    </w:p>
    <w:p>
      <w:pPr>
        <w:spacing w:after="0" w:line="229"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b w:val="1"/>
          <w:bCs w:val="1"/>
          <w:i w:val="1"/>
          <w:iCs w:val="1"/>
          <w:color w:val="auto"/>
        </w:rPr>
        <w:t>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products and its operating results.</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These laws, rules, and regulations may be subject to change by the Biden administration, which has stalled construction of the Keystone XL Pipeline and may in the future take action to further restrict such activities.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and revised tax law interpretations, also may adversely affect NTIC’s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effective tax rate could have a significant impact on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financial position, results of operations, or cash flows.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Certain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operations are subject to regulation by the U.S. Food and Drug Administration.</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manufacture, sale, and use of NTIC’s Natur-Tec®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 resin compounds comply with all FDA requirements. However, failure to comply with FDA regulations could subject NTIC to administrative, civil, or criminal penalties.</w:t>
      </w:r>
    </w:p>
    <w:p>
      <w:pPr>
        <w:spacing w:after="0" w:line="16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compliance with accounting principles generally accepted in the United States of America and any changes in such principles might adversely affect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and financial condition. Any requirement to consolidate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joint ventures could adversely affect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and financial condition.</w:t>
      </w:r>
    </w:p>
    <w:p>
      <w:pPr>
        <w:spacing w:after="0" w:line="18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Intellectual Property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1"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w:t>
      </w:r>
      <w:r>
        <w:rPr>
          <w:rFonts w:ascii="Arial" w:cs="Arial" w:eastAsia="Arial" w:hAnsi="Arial"/>
          <w:sz w:val="18"/>
          <w:szCs w:val="18"/>
          <w:color w:val="auto"/>
        </w:rPr>
        <w:t>’</w:t>
      </w:r>
      <w:r>
        <w:rPr>
          <w:rFonts w:ascii="Arial" w:cs="Arial" w:eastAsia="Arial" w:hAnsi="Arial"/>
          <w:sz w:val="18"/>
          <w:szCs w:val="18"/>
          <w:b w:val="1"/>
          <w:bCs w:val="1"/>
          <w:color w:val="auto"/>
        </w:rPr>
        <w:t>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 is typically very low, leaving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 open to risk of high volatility.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number of shares of NTIC’s common stock being traded daily is often very low, and on some trading days, there is no trading volume at all. During fiscal 2021, the daily trading volume ranged from 400 shares to 100,200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price and trading volume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 has been, and may continue to be, volatile.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2021, the sale price of NTIC’s common stock ranged from a low of $7.79 per share to a high of $21.50 per share, and the daily trading volume ranged from 400 shares to 100,200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large percentage of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outstanding common stock is held by insiders, and, as a result, the trading market for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common stock is not as liquid as the stock of other public companies.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November 15, 2021, NTIC had 9,187,446 shares of common stock outstanding, 23.5%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8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business, or if they adversely change their recommendations regarding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stock, the market price for NTIC</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stock and trading volume could decline.</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87"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One of 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principal stockholders beneficially owns a significant percentage of 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outstanding common stock and is affiliated with 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President and Chief Executive Officer and, thus, may be able to influence matters requiring stockholder approval, including the election of directors, and could discourage or otherwise impede a transaction in which a third-party wishes to purchase NTIC</w:t>
      </w:r>
      <w:r>
        <w:rPr>
          <w:rFonts w:ascii="Arial" w:cs="Arial" w:eastAsia="Arial" w:hAnsi="Arial"/>
          <w:sz w:val="15"/>
          <w:szCs w:val="15"/>
          <w:color w:val="auto"/>
        </w:rPr>
        <w:t>’</w:t>
      </w:r>
      <w:r>
        <w:rPr>
          <w:rFonts w:ascii="Arial" w:cs="Arial" w:eastAsia="Arial" w:hAnsi="Arial"/>
          <w:sz w:val="15"/>
          <w:szCs w:val="15"/>
          <w:b w:val="1"/>
          <w:bCs w:val="1"/>
          <w:i w:val="1"/>
          <w:iCs w:val="1"/>
          <w:color w:val="auto"/>
        </w:rPr>
        <w:t>s outstanding shares at a premium.</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November 15, 2021, Inter Alia Holding Company, or Inter Alia, beneficially owned approximately 13.1%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or legal, regulatory, or market measures to address climate change, may negatively affect our business and operations.</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increasing global focus on climate change and the need for corporate change also may lead to new regional, federal, and/or global legal and regulatory requirements to reduce or mitigate the effects of greenhouse gases.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Adverse publicity or climate-related litigation that impacts us could have a negative impact on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weather could have a material adverse effect on our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NTIC’s business has been and could in the future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During fiscal year 2021, extreme weather caused supply chain disruptions and caused delays in receiving base resins. Adverse weather can also directly impede NTIC’s operations. Repercussions of severe weather conditions may include:</w:t>
      </w:r>
    </w:p>
    <w:p>
      <w:pPr>
        <w:spacing w:after="0" w:line="178" w:lineRule="exact"/>
        <w:rPr>
          <w:sz w:val="20"/>
          <w:szCs w:val="20"/>
          <w:color w:val="auto"/>
        </w:rPr>
      </w:pPr>
    </w:p>
    <w:p>
      <w:pPr>
        <w:ind w:left="720" w:hanging="3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curtailment of services or reduced demand for products;</w:t>
      </w:r>
    </w:p>
    <w:p>
      <w:pPr>
        <w:spacing w:after="0" w:line="23" w:lineRule="exact"/>
        <w:rPr>
          <w:rFonts w:ascii="Arial" w:cs="Arial" w:eastAsia="Arial" w:hAnsi="Arial"/>
          <w:sz w:val="18"/>
          <w:szCs w:val="18"/>
          <w:color w:val="auto"/>
        </w:rPr>
      </w:pPr>
    </w:p>
    <w:p>
      <w:pPr>
        <w:ind w:left="720" w:hanging="3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weather-related damage to facilities and equipment, resulting in suspension of operations;</w:t>
      </w:r>
    </w:p>
    <w:p>
      <w:pPr>
        <w:spacing w:after="0" w:line="9" w:lineRule="exact"/>
        <w:rPr>
          <w:rFonts w:ascii="Arial" w:cs="Arial" w:eastAsia="Arial" w:hAnsi="Arial"/>
          <w:sz w:val="18"/>
          <w:szCs w:val="18"/>
          <w:color w:val="auto"/>
        </w:rPr>
      </w:pPr>
    </w:p>
    <w:p>
      <w:pPr>
        <w:ind w:left="720" w:right="420" w:hanging="334"/>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deliver equipment, personnel and products to job sites in accordance with contract schedules or increased transportation or other operating costs; and</w:t>
      </w:r>
    </w:p>
    <w:p>
      <w:pPr>
        <w:ind w:left="720" w:hanging="3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delay NTIC’s operations and materially increase NTIC’s operating and capital costs.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may grow its business through additional joint ventures, subsidiaries, alliances, and acquisitions, which could be risky and harm its business.</w:t>
      </w:r>
    </w:p>
    <w:p>
      <w:pPr>
        <w:spacing w:after="0" w:line="26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8" w:name="page39"/>
    <w:bookmarkEnd w:id="38"/>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3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4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ind w:left="660" w:right="1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8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and operating results could be adversely affected.</w:t>
      </w:r>
    </w:p>
    <w:p>
      <w:pPr>
        <w:spacing w:after="0" w:line="18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could be negatively impacted by cyber security threats.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quarterly results are typically unpredictable and subject to variation.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 products, the timing of one or more orders can materially affect NTIC’s quarterly sales of Natur-Tec® products and the comparisons to prior year quarters. Furthermore, since ZERUST® products for the oil and gas industry typically carry higher margins than other traditional ZERUST® products, the amount of sales of ZERUST®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640"/>
        <w:spacing w:after="0" w:line="277" w:lineRule="auto"/>
        <w:rPr>
          <w:sz w:val="20"/>
          <w:szCs w:val="20"/>
          <w:color w:val="auto"/>
        </w:rPr>
      </w:pPr>
      <w:r>
        <w:rPr>
          <w:rFonts w:ascii="Arial" w:cs="Arial" w:eastAsia="Arial" w:hAnsi="Arial"/>
          <w:sz w:val="18"/>
          <w:szCs w:val="18"/>
          <w:b w:val="1"/>
          <w:bCs w:val="1"/>
          <w:i w:val="1"/>
          <w:iCs w:val="1"/>
          <w:color w:val="auto"/>
        </w:rPr>
        <w:t>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is subject to a number of other miscellaneous risks that may adversely affect NTIC</w:t>
      </w:r>
      <w:r>
        <w:rPr>
          <w:rFonts w:ascii="Arial" w:cs="Arial" w:eastAsia="Arial" w:hAnsi="Arial"/>
          <w:sz w:val="18"/>
          <w:szCs w:val="18"/>
          <w:color w:val="auto"/>
        </w:rPr>
        <w:t>’</w:t>
      </w:r>
      <w:r>
        <w:rPr>
          <w:rFonts w:ascii="Arial" w:cs="Arial" w:eastAsia="Arial" w:hAnsi="Arial"/>
          <w:sz w:val="18"/>
          <w:szCs w:val="18"/>
          <w:b w:val="1"/>
          <w:bCs w:val="1"/>
          <w:i w:val="1"/>
          <w:iCs w:val="1"/>
          <w:color w:val="auto"/>
        </w:rPr>
        <w:t>s operating results, financial condition, or business.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NTIC’s principal executive offices, production facilities, and domestic research and development operations are located at 4201 Woodland Road, Circle Pines, Minnesota 55014. NTIC owns this real estate and building. NTIC also owns real estate and a building in Beachwood, Ohio, which it uses for office, manufacturing, laboratory, and warehouse space.</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Internationally, NTIC’s subsidiaries in Brazil, India, Mexico, and China all lease office, warehouse, and laboratory space. In July 2021, NTIC China entered into a purchase agreement to acquire an approximately 21,000 square feet industrial building and the right to use certain real estate in the Qingpu District of Shanghai, China, which will be used as China’s new corporate headquarters beginning in February 2022. In addition, as a result of the Hartia-NTI acquisition, NTIC also leases office, warehouse, and laboratory space in Chennai, India.</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NTIC has contract warehousing agreements in California and Indiana to hold and release stock products to customers. NTIC’s management considers its current properties suitable and adequate for its current and foreseeable needs.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NTIC’s legal proceedings, see Note 15 to NTIC’s consolidated financial statements.</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common stock is listed for trading on the Nasdaq Global Market under the symbol “NTIC.”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23, 2020, the Company announced the temporary suspension of its quarterly cash dividend pending clarity on the financial impact of COVID-19 on the Company. On January 15, 2021, the Company announced the reinstatement of its quarterly cash dividend. During fiscal 2021, NTIC’s Board of Directors declared cash dividends on the following dates in the following amounts to holders of record of the Company’s common stock as of the following record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2021</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3,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6"/>
        </w:trPr>
        <w:tc>
          <w:tcPr>
            <w:tcW w:w="2820" w:type="dxa"/>
            <w:vAlign w:val="bottom"/>
          </w:tcPr>
          <w:p>
            <w:pPr>
              <w:jc w:val="center"/>
              <w:spacing w:after="0"/>
              <w:rPr>
                <w:sz w:val="20"/>
                <w:szCs w:val="20"/>
                <w:color w:val="auto"/>
              </w:rPr>
            </w:pPr>
            <w:r>
              <w:rPr>
                <w:rFonts w:ascii="Arial" w:cs="Arial" w:eastAsia="Arial" w:hAnsi="Arial"/>
                <w:sz w:val="18"/>
                <w:szCs w:val="18"/>
                <w:color w:val="auto"/>
                <w:w w:val="93"/>
              </w:rPr>
              <w:t>April 23, 2021</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May 5, 2021</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May 19, 2021</w:t>
            </w:r>
          </w:p>
        </w:tc>
      </w:tr>
      <w:tr>
        <w:trPr>
          <w:trHeight w:val="216"/>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21, 2021</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4,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18, 2021</w:t>
            </w: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October 20, 2021, NTIC’s Board of Directors declared a cash dividend of $0.07 per share of NTIC’s common stock, payable on November 17, 2021 to stockholders of record on November 3, 2021.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2021, there were 165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NTIC did not purchase any shares of its common stock or other equity securities of NTIC during the fourth quarter of fiscal 2020. As of August 31, 2021, up to $2,640,548 in shares of NTIC common stock remained available for repurchase under NTIC’s stock repurchase program.</w:t>
      </w:r>
    </w:p>
    <w:p>
      <w:pPr>
        <w:spacing w:after="0" w:line="1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1. Business</w:t>
      </w:r>
      <w:r>
        <w:rPr>
          <w:rFonts w:ascii="Arial" w:cs="Arial" w:eastAsia="Arial" w:hAnsi="Arial"/>
          <w:sz w:val="17"/>
          <w:szCs w:val="17"/>
          <w:color w:val="auto"/>
        </w:rPr>
        <w:t>—</w:t>
      </w:r>
      <w:r>
        <w:rPr>
          <w:rFonts w:ascii="Arial" w:cs="Arial" w:eastAsia="Arial" w:hAnsi="Arial"/>
          <w:sz w:val="17"/>
          <w:szCs w:val="17"/>
          <w:i w:val="1"/>
          <w:iCs w:val="1"/>
          <w:color w:val="auto"/>
        </w:rPr>
        <w:t>Forward-Looking Statements</w:t>
      </w:r>
      <w:r>
        <w:rPr>
          <w:rFonts w:ascii="Arial" w:cs="Arial" w:eastAsia="Arial" w:hAnsi="Arial"/>
          <w:sz w:val="17"/>
          <w:szCs w:val="17"/>
          <w:color w:val="auto"/>
        </w:rPr>
        <w:t>” and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 The following discussion of the results of the operations and financial condition of NTIC should be read in conjunction with NTIC’s consolidated financial statements and the related notes thereto included under “</w:t>
      </w:r>
      <w:r>
        <w:rPr>
          <w:rFonts w:ascii="Arial" w:cs="Arial" w:eastAsia="Arial" w:hAnsi="Arial"/>
          <w:sz w:val="17"/>
          <w:szCs w:val="17"/>
          <w:i w:val="1"/>
          <w:iCs w:val="1"/>
          <w:color w:val="auto"/>
        </w:rPr>
        <w:t>Part II. Item 8. Financial Statements and Supplementary Data</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3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fiscal year.</w:t>
      </w:r>
    </w:p>
    <w:p>
      <w:pPr>
        <w:ind w:left="660" w:right="1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r>
        <w:rPr>
          <w:rFonts w:ascii="Arial" w:cs="Arial" w:eastAsia="Arial" w:hAnsi="Arial"/>
          <w:sz w:val="18"/>
          <w:szCs w:val="18"/>
          <w:color w:val="auto"/>
        </w:rPr>
        <w:t>. This section provides a brief overview of NTIC’s subsidiaries and its joint venture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the joint ventures which are considered individually significant to NTIC’s consolidated assets and income, and how NTIC’s joint ventures are accounted for by NTIC.</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Impact of the COVID-19 Pandemic</w:t>
      </w:r>
      <w:r>
        <w:rPr>
          <w:rFonts w:ascii="Arial" w:cs="Arial" w:eastAsia="Arial" w:hAnsi="Arial"/>
          <w:sz w:val="18"/>
          <w:szCs w:val="18"/>
          <w:color w:val="auto"/>
        </w:rPr>
        <w:t>. This section provides a brief summary of the impacts to date and potential future impacts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w:t>
      </w:r>
    </w:p>
    <w:p>
      <w:pPr>
        <w:ind w:left="660" w:right="1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Worldwide Supply Chain Disruptions</w:t>
      </w:r>
      <w:r>
        <w:rPr>
          <w:rFonts w:ascii="Arial" w:cs="Arial" w:eastAsia="Arial" w:hAnsi="Arial"/>
          <w:sz w:val="18"/>
          <w:szCs w:val="18"/>
          <w:color w:val="auto"/>
        </w:rPr>
        <w:t>. This section provides a brief summary of the impacts to date and potential future impacts of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supply chain disruptions.</w:t>
      </w: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Financial Overview</w:t>
      </w:r>
      <w:r>
        <w:rPr>
          <w:rFonts w:ascii="Arial" w:cs="Arial" w:eastAsia="Arial" w:hAnsi="Arial"/>
          <w:sz w:val="16"/>
          <w:szCs w:val="16"/>
          <w:color w:val="auto"/>
        </w:rPr>
        <w:t>. This section provides a brief summary of NTIC’s financial results and financial condition for fiscal 2021 compared to 2020.</w:t>
      </w:r>
    </w:p>
    <w:p>
      <w:pPr>
        <w:spacing w:after="0" w:line="32"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NTIC’s significant accounting policies, including its critical accounting estimates, are summarized in Note 1 to NTIC’s consolidated financial statements.</w:t>
      </w:r>
    </w:p>
    <w:p>
      <w:pPr>
        <w:spacing w:after="0" w:line="1"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references Note 2 to NTIC’s consolidated financial statements, which summarizes the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of recently issued accounting pronouncements on NTIC’s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45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ind w:right="220"/>
        <w:spacing w:after="0" w:line="275" w:lineRule="auto"/>
        <w:rPr>
          <w:sz w:val="20"/>
          <w:szCs w:val="20"/>
          <w:color w:val="auto"/>
        </w:rPr>
      </w:pPr>
      <w:r>
        <w:rPr>
          <w:rFonts w:ascii="Arial" w:cs="Arial" w:eastAsia="Arial" w:hAnsi="Arial"/>
          <w:sz w:val="17"/>
          <w:szCs w:val="17"/>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Internationally, NTIC sells its ZERUST® corrosion prevention solutions through its wholly-owned subsidiary in China, NTIC (Shanghai) Co., Ltd. (NTIC China), starting September 1, 2021 its wholly-owned subsidiary in India, Harita-NTI Ltd.,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NTIC has ownership interests in 10 operating subsidiaries in North America, South America, Europe, and Asia, which are listed in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The results of these subsidiaries are fully consolidated in NTIC’s consolidated financial statements,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for Harita-NTI Limited, which will be consolidated commencing September 1, 2021. On September 21, 2021, NTIC announced that it acquired the remaining 50% ownership interest in its Indian joint venture, Harita-NTI Limited, for $6.25 million in cash, effective as of September 1, 2021.</w:t>
      </w:r>
    </w:p>
    <w:p>
      <w:pPr>
        <w:spacing w:after="0" w:line="1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NTIC participates in 19 active joint venture arrangements in North America, Europe, and Asia. NTIC has historically funded its investments in joint ventures with cash generated from operations. 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200"/>
        <w:spacing w:after="0" w:line="255" w:lineRule="auto"/>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 NTIC considers EXCOR to be individually significant to NTIC’s consolidated assets and income as of August 31, 2021. NTIC considers EXCOR, ACOBAL SAS, ZERUST OY, ZERUST SPECIALTY TECH CO. LTD. and its former joint venture, Harita-NTI Limited, to be individually significant to NTIC’s consolidated assets and income as of August 31, 2020. Therefore, NTIC provides certain additional information regarding these entities in the notes to NTIC’s consolidated financial statements and in this section of this report. Additional information related to NTIC’s joint ventures is available in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Item 1. Business</w:t>
      </w:r>
      <w:r>
        <w:rPr>
          <w:rFonts w:ascii="Arial" w:cs="Arial" w:eastAsia="Arial" w:hAnsi="Arial"/>
          <w:sz w:val="18"/>
          <w:szCs w:val="18"/>
          <w:color w:val="auto"/>
        </w:rPr>
        <w:t>”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March 2020, the World Health Organization declared the novel coronavirus (COVID-19) outbreak a global pandemic. The COVID-19 pandemic has negatively impacted the global economy, disrupted global supply chains and shipping, created significant volatility and disruption in financial markets and has resulted in an economic recession. The outbreak and continuing rapid spread of COVID-19 has resulted in a substantial curtailment of business activities worldwide and is causing weakened economic conditions, both in the United States and abroad.</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led to a significant number of business closures and slowdowns. These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w:t>
      </w:r>
    </w:p>
    <w:p>
      <w:pPr>
        <w:spacing w:after="0" w:line="16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COVID-19 pandemic in 2020 and again sporadically during 2021,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fiscal 2021,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shipping delays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80"/>
        <w:spacing w:after="0" w:line="255" w:lineRule="auto"/>
        <w:rPr>
          <w:sz w:val="20"/>
          <w:szCs w:val="20"/>
          <w:color w:val="auto"/>
        </w:rPr>
      </w:pPr>
      <w:r>
        <w:rPr>
          <w:rFonts w:ascii="Arial" w:cs="Arial" w:eastAsia="Arial" w:hAnsi="Arial"/>
          <w:sz w:val="18"/>
          <w:szCs w:val="18"/>
          <w:color w:val="auto"/>
        </w:rPr>
        <w:t>As a result of the global economic slowdown caused by the COVID-19 pandemic, NTIC experienced softened demand in various regions and markets during fiscal 2021, which had an adverse effect on NTIC’s operating results and financial condition. In addition, NTIC has experienced supply shortages and price increase on raw materials which have adversely affected its margins. NTIC has also experienced increased shipping costs and shipping delays as a result of freight container shortages. These issues are expected to persist into fiscal 2022. Due to the international reach of COVID-19, NTIC’s international joint ventures have also been adversely impacted. It is not possible to predict how long the pandemic will last or the time that it will take for economic activity to return to prior levels for all business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Supply Chain Disruptions</w:t>
      </w:r>
    </w:p>
    <w:p>
      <w:pPr>
        <w:spacing w:after="0" w:line="229"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Worldwide supply chain disruptions, which were initially brought about by the impact of the COVID-19 pandemic, have persisted despite the recovery in the global economy and financial markets, and these issues are expected to continue in fiscal 2022. In fiscal 2021, NTIC experienced longer lead times for raw materials, was forced to find new suppliers of certain raw materials, and experienced raw material cost increases compared to prior fiscal years.</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Additionally, NTIC experienced significantly longer shipping times and significant price increases per shipping container compared to prior fiscal years due to ocean freight capacity issues resulting from increased demand for shipping and reduced capacity and equipment. These and other issues resulting from worldwide supply chain disruptions are expected to continue in fiscal 2022 and could continue to have a material adverse effect on NTIC’s business, operating results and financial condition. The precise financial impact and duration, however, cannot be reasonably estimated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NTIC’s consolidated net sales increased 18.6% during fiscal 2021 compared to fiscal 2020. NTIC’s consolidated net sales for fiscal 2021 were positively affected by increased demand globally as a result of the recovery from the COVID-19 pandemic. During fiscal 2021, 80.6% of NTIC’s consolidated net sales were derived from sales of ZERUST® products and services, which increased 32.1% to $45,554,434 during fiscal 2021 compared to $34,474,535 during fiscal 2020. This increase was due to increased sales to new and existing customers in all countries in addition to the recovery from the COVID-19 pandemic. During fiscal 2021, 19.4% of NTIC’s consolidated net sales were derived from sales of Natur-Tec® products compared to 27.6% during fiscal 2020. Net sales of Natur-Tec® products decreased 16.9% to $10,939,385 during fiscal 2021 compared to fiscal 2020 primarily due to a decrease in finished product sales in North America and at NTIC’s majority-owned subsidiary in India, Natur-Tec India Private Limited (Natur-Tec India).</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Cost of goods sold as a percentage of net sales decreased to 65.4% during fiscal 2021 compared to 66.4% during fiscal 2020 primarily as a result of a decreased percentage of product sales from Natur-Tec® products, which have lower gross margins than NTIC’s traditional ZERUST® industrial products and services or its oil and gas products, partially offset by price increases on raw materials used in NTIC’s products.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NTIC’s equity in income from joint ventures increased 74.8% to $7,465,214 during fiscal 2021 compared to $4,270,327 during fiscal 2020. This increase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primarily due to a corresponding 39.0% increase in net sales at the joint ventures, which were $120,954,550 during fiscal 2021,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$87,030,062 during fiscal 2020. The majority of the increase in sales at the joint ventures is attributable to the increase in net sales at EXCOR,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$46,522,688 during fiscal 2021, compared to $32,546,402 during fiscal 2020. The increase in the net sales of NTIC’s joint ventures was due primarily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sales to existing customers as a result of increased demand for existing products.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NTIC’s total operating expenses increased $1,355,173, or 5.8%, to $24,679,626 during fiscal 2021 compared to $23,324,453 during fiscal 2020. These increases were primarily due to increased expenses due to the resumption of travel and other activities as a result of the recovery associated with COVID-19 pandemic and increased research and development expenses. NTIC spent $4,400,479 in fiscal 2021 in connection with its research and development activities, compared to $3,979,455 in fiscal 2020.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5" w:name="page46"/>
    <w:bookmarkEnd w:id="45"/>
    <w:p>
      <w:pPr>
        <w:ind w:right="60"/>
        <w:spacing w:after="0" w:line="293" w:lineRule="auto"/>
        <w:rPr>
          <w:sz w:val="20"/>
          <w:szCs w:val="20"/>
          <w:color w:val="auto"/>
        </w:rPr>
      </w:pPr>
      <w:r>
        <w:rPr>
          <w:rFonts w:ascii="Arial" w:cs="Arial" w:eastAsia="Arial" w:hAnsi="Arial"/>
          <w:sz w:val="16"/>
          <w:szCs w:val="16"/>
          <w:color w:val="auto"/>
        </w:rPr>
        <w:t>NTIC had net income attributable to NTIC of $6,281,238, or $0.64 per diluted common share, for fiscal 2021, compared to net loss attributable to NTIC of $(1,337,709), or $(0.15) per diluted common share, for fiscal 2020. This increase was primarily a result of increased demand globally as a result of the recovery from the COVID-19 pandemic, although NTIC anticipates that its earnings may continue to be somewhat adversely affected by the COVID-19 pandemic during fiscal 2022. Additionally, NTIC anticipates that its quarterly net income or loss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NTIC’s working capital, defined as current assets less current liabilities, was $25,230,893 at August 31, 2021, including $7,680,641 in cash and cash equivalents and $4,634 in available for sale securities, compared to $27,104,746 at August 31, 2020, including $6,403,032 in cash and cash equivalents and $5,544,722 in available for sale securities. NTIC expects its working capital to decrease at the end of first quarter of fiscal 2022 as compared to August 31, 2021 due to the $6.25 million payment by NTIC for the remaining 50% ownership interest in Harita-NTI in September 2021.</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fiscal 2020, NTIC’s Board of Directors declared cash dividends of $0.065 per share during its first and second quarters. On April 23, 2020, NTIC announced the temporary suspension of its quarterly cash dividend pending clarity on the financial impact of COVID-19 on NTIC. On January 15, 2021, NTIC announced the reinstatement of its quarterly cash dividend. During fiscal 2021, NTIC’s Board of Directors declared cash dividends of $0.065 per share during its second, third and fourth quarters. On October 20, 2021, NTIC’s Board of Directors declared a cash dividend of $0.07 per share of NTIC’s common stock, payable on November 17, 2021 to stockholders of record on November 3, 2021.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Net Sales, Excluding Joint Ventures</w:t>
      </w:r>
      <w:r>
        <w:rPr>
          <w:rFonts w:ascii="Arial" w:cs="Arial" w:eastAsia="Arial" w:hAnsi="Arial"/>
          <w:sz w:val="18"/>
          <w:szCs w:val="18"/>
          <w:color w:val="auto"/>
        </w:rPr>
        <w:t>. NTIC derives net sales from the sale of its ZERUST® products and services and its Natur-Tec® products. NTIC sells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ZERUST® products and services and its Natur-Tec®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18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Net Sales, To Joint Ventures</w:t>
      </w:r>
      <w:r>
        <w:rPr>
          <w:rFonts w:ascii="Arial" w:cs="Arial" w:eastAsia="Arial" w:hAnsi="Arial"/>
          <w:sz w:val="16"/>
          <w:szCs w:val="16"/>
          <w:color w:val="auto"/>
        </w:rPr>
        <w:t>. Net sales, to joint ventures represents net sales by NTIC to NTIC’s joint ventures, but not sales by NTIC either directly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users or to distributors or sales by NTIC’s joint ventures. NTIC’s revenue recognition policy for sales to its joint ventures is the same as NTIC’s policy for sales to unaffiliated customers. NTIC recognizes revenue from the sale of its products to joint ventures primarily upon shipment of the products.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Cost of Goods Sold</w:t>
      </w:r>
      <w:r>
        <w:rPr>
          <w:rFonts w:ascii="Arial" w:cs="Arial" w:eastAsia="Arial" w:hAnsi="Arial"/>
          <w:sz w:val="16"/>
          <w:szCs w:val="16"/>
          <w:color w:val="auto"/>
        </w:rPr>
        <w:t>. Most of NTIC’s products are manufactured by third parties, and its cost of goods sold for those products consists primarily of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 resin compounds and finished products are generally smaller than its margins on its ZERUST® products and services, and NTIC’s margins on its ZERUST® products and services sold into the oil and gas industry are generally greater than its margins on its traditional ZERUST® products and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right="2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each joint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Fees for Services Provided to Joint Ventures</w:t>
      </w:r>
      <w:r>
        <w:rPr>
          <w:rFonts w:ascii="Arial" w:cs="Arial" w:eastAsia="Arial" w:hAnsi="Arial"/>
          <w:sz w:val="18"/>
          <w:szCs w:val="18"/>
          <w:color w:val="auto"/>
        </w:rPr>
        <w:t>. NTIC provides certain services to its joint ventures, including consulting, legal, travel, insurance, technical,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is described, amounts are earned when product is shipped from joint venture facilities, at which point a sale is deemed to have occurred and results in obligation of the joint venture to pay the royalty and recognition of the fee by NTIC.</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consist primarily of salaries and benefits and other costs for NTIC’s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 accounting, stock-based compensation, finance, legal, information technology, and human resources functions.</w:t>
      </w:r>
    </w:p>
    <w:p>
      <w:pPr>
        <w:spacing w:after="0" w:line="14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color w:val="auto"/>
        </w:rPr>
        <w:t>. Interest expense results primarily from interest associated with any borrowings under NTIC’s line of credit with PNC Bank.</w:t>
      </w:r>
    </w:p>
    <w:p>
      <w:pPr>
        <w:spacing w:after="0" w:line="23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Income tax expense includes federal income taxes, foreign withholding taxes, income tax of consolidated entities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2021 Compared to Fiscal Year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2021 and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Fiscal 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Fiscal 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  53,470,623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45,666,045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7,804,578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3,023,196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1,972,646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1,050,550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36,920,814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31,609,274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5,311,540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7,465,214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4,270,327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3,194,887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74.8%</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5,964,260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4,612,885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1,351,375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12,016,974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10,656,689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1,360,285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8,262,173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8,688,309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4,400,479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3,979,455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421,024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18.6% to $56,493,819 during fiscal 2021 compared to $47,638,691 during fiscal 2020. NTIC’s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sales to unaffiliated customers excluding NTIC’s joint ventures increased 17.1% to $53,470,623 during fiscal 2021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$45,666,045 during fiscal 2020. Net sales to joint ventures increased 53.3% to $3,023,196 during fiscal 2021 compared to $1,972,646 during fiscal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primarily a result of increased demand globally as a result of the recovery from the COVID-19 pandemic.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2021 and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34"/>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Fiscal 2021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Fiscal 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45,554,434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34,474,535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11,079,899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10,939,385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13,164,156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(2,224,771)</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56,493,819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47,638,691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8,855,128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fiscal 2021, 80.6% of NTIC’s consolidated net sales were derived from sales of ZERUST® products and services, which increased 32.1% to $45,554,434 compared to $34,474,535 during fiscal 2020. NTIC has strategically focused its sales efforts for ZERUST® products and services on customers with sizeable corrosion problems in industry sectors that offer sizable growth opportunities, including the oil and gas sector. Overall, demand for ZERUST® products and services depends heavily on the overall health of the market segments to which NTIC sells its products, including the automotive, oil and gas, agriculture, and mining markets in particular. Beginning in fiscal 2021, the automotive industry experienced a microchip shortage that has decreased the production of vehicles. This decreased production has decreased demand for ZERUST® products and services within the automotive industry. The microchip shortage and the corresponding decrease in the production of vehicles is anticipated to continue into fiscal 2022. The increase in NTIC’s consolidated net sales derived from sales of ZERUST® products and services was primarily a result of increased demand across all geographies, partially offset by decreased demand from the automotive industry.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 products for fiscal 2021 and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Fiscal 2021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Fiscal 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38,737,771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29,719,015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9,018,756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3,023,196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1,972,646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1,050,551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3,793,467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2,782,874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1,010,592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45,554,434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34,474,535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11,079,899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NTIC’s total ZERUST® net sales increased during fiscal 2021 compared to fiscal 2020 primarily due to overall increased demand for ZERUST® industrial products and services. Overall demand for ZERUST® products and services depends heavily on the overall health of the markets in which NTIC sells its products, including the automotive, oil and gas, agriculture, and mining markets in particular.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20"/>
        <w:spacing w:after="0" w:line="273" w:lineRule="auto"/>
        <w:rPr>
          <w:sz w:val="20"/>
          <w:szCs w:val="20"/>
          <w:color w:val="auto"/>
        </w:rPr>
      </w:pPr>
      <w:r>
        <w:rPr>
          <w:rFonts w:ascii="Arial" w:cs="Arial" w:eastAsia="Arial" w:hAnsi="Arial"/>
          <w:sz w:val="17"/>
          <w:szCs w:val="17"/>
          <w:color w:val="auto"/>
        </w:rPr>
        <w:t>ZERUST® oil and gas net sales increased 36.3% during fiscal 2021 compared to fiscal 2020 primarily as a result of new opportunities with new customers, partially offset by reduced demand as a result of the COVID-19 pandemic.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2021, 19.4% of NTIC’s consolidated net sales were derived from sales of Natur-Tec® products, compared to 27.6% during fiscal 2020. Sales of Natur-Tec® products decreased 16.9% to $10,939,385 during fiscal 2021 compared to $13,164,156 during fiscal 2020. The COVID pandemic has adversely impacted demand for Natur-Tec® products from across the apparel industry, as well as many large users of bioplastics, including college campuses, stadiums, arenas, restaurants, and corporate office complexes. NTIC currently expects these customers will be some of the last businesses to fully re-open, and accordingly, anticipates that the COVID-19 pandemic will continue to significantly adversely affect sales of Natur-Tec® products during fiscal 2022.</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16.8% in fiscal 2021 compared to fiscal 2020 primarily as a result of the increase in net sales,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Cost of goods sold as a percentage of net sales decreased to 65.4% during fiscal 2020 compared to 66.4% during fiscal 2020 primarily due to changes in product mix. Sales from Natur-Tec® products have lower gross margins than NTIC’s traditional ZERUST® oil and gas products. This decrease was partially offset by price increases on raw materials used in NTIC’s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 Income from Joint Ventures</w:t>
      </w:r>
      <w:r>
        <w:rPr>
          <w:rFonts w:ascii="Arial" w:cs="Arial" w:eastAsia="Arial" w:hAnsi="Arial"/>
          <w:sz w:val="17"/>
          <w:szCs w:val="17"/>
          <w:color w:val="auto"/>
        </w:rPr>
        <w:t>. NTIC’s equity in income from joint ventures increased 74.8% to $7,465,214 during fiscal 2021 compared to</w:t>
      </w:r>
    </w:p>
    <w:p>
      <w:pPr>
        <w:spacing w:after="0" w:line="3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$4,270,327 during fiscal 2020. This increase was primarily a result of increased profitability of the joint ventures, which fluctuates based on net sales, during the fiscal 2021. Of the total equity in income from joint ventures, NTIC had equity in income from joint ventures of $4,400,403 attributable to EXCOR during fiscal 2021 compared to $2,622,423 attributable to EXCOR during fiscal 2020. NTIC had equity in income of all other joint ventures of $3,064,811 during fiscal 2021 compared to $1,647,904 during fiscal 2020.</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joint ventures of $5,964,260 during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$4,612,885 during fiscal 2020, representing an increase of 29.3%, or $1,351,375. Fee income for services provided to joint ventures is traditionally a function of the sales made by NTIC’s joint ventures; however, at various joint ventures, the fee income for services is a fixed amount that does not fluctuate with the increases in sales which was experienced by certain joint ventures during fiscal 2021. Total net sales of NTIC’s joint ventures increased $33,924,488 to $120,954,550 during fiscal 2021 compared to $87,030,062 during fiscal 2020, representing an increase of 39.0%. Net sales of NTIC’s joint ventures are not included in NTIC’s product sales and are not included in NTIC’s consolidated financial statements. Of the total fee income for services provided to joint ventures, fees of $920,902 were attributable to EXCOR during fiscal 2021 compared to $843,752 attributable to EXCOR during fiscal 2020.</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increased 12.8% in fiscal 2021 compared to fiscal 2020 due primarily to increased travel expenses and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compared to the expenses incurred during fiscal 2020. Selling expenses as a percentage of net sales decreased to 21.3% for fiscal 2021 compared to 22.4% in fiscal 2020 primarily due to the fluctuations in net sales and selling expenses, as previously described.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4.9% in fiscal 2021 compared to fiscal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travel expenses and other expenses due to work from home arrangements necessitated by the COVID-19 pandemic. As a percentage of net sales, general and administrative expenses decreased to 14.6% for fiscal 2021 from 18.2% for fiscal 2020 primarily due to the decrease in general and administrative expenses, as well as the increase in net sales, as previously described.</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10.6% in fiscal 2021 compared to fiscal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personnel and development efforts, partially offset by decreased travel expenses and other expenses due to work from home arrangements necessitated by the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 earned net interest income of $151,875 in fiscal 2021 compared to $167,733 in fiscal 2020 due primarily to volatile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cash in a conservative bond fund.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had income before income tax expense of $8,458,642 for fiscal 2021 compared to income before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$1,739,875 for fiscal 2020.</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$1,461,905 during fiscal 2021 compared to $2,674,635 during fiscal 2020 for an effective tax rate of 17.3%</w:t>
      </w:r>
      <w:r>
        <w:rPr>
          <w:rFonts w:ascii="Arial" w:cs="Arial" w:eastAsia="Arial" w:hAnsi="Arial"/>
          <w:sz w:val="18"/>
          <w:szCs w:val="18"/>
          <w:i w:val="1"/>
          <w:iCs w:val="1"/>
          <w:color w:val="auto"/>
        </w:rPr>
        <w:t xml:space="preserve"> </w:t>
      </w:r>
      <w:r>
        <w:rPr>
          <w:rFonts w:ascii="Arial" w:cs="Arial" w:eastAsia="Arial" w:hAnsi="Arial"/>
          <w:sz w:val="18"/>
          <w:szCs w:val="18"/>
          <w:color w:val="auto"/>
        </w:rPr>
        <w:t>and 153.7%, respectively. Income tax expense during fiscal 2020 includes $1,626,251 related to the impact of a tax valuation allowance recorded with respect to NTIC’s domestic deferred tax assets during fiscal 2020.</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Net Income (Loss) Attributable to NTIC</w:t>
      </w:r>
      <w:r>
        <w:rPr>
          <w:rFonts w:ascii="Arial" w:cs="Arial" w:eastAsia="Arial" w:hAnsi="Arial"/>
          <w:sz w:val="16"/>
          <w:szCs w:val="16"/>
          <w:color w:val="auto"/>
        </w:rPr>
        <w:t>. Net income attributable to NTIC was $6,281,238, or $0.64 per diluted common share, for fiscal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 net loss attributable to NTIC of $(1,337,709), or $(0.15) per diluted common share, for fiscal 2020, an increase of $7,618,947 or $0.79 per diluted share. This increase was primarily the result of increased income from joint venture operations and increased gross profit during fiscal 2021.</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anticipates that its earnings will be adversely affected by the COVID-19 pandemic throughout fiscal 2022 and that its quarterly net income or loss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Other Comprehensive Income </w:t>
      </w:r>
      <w:r>
        <w:rPr>
          <w:rFonts w:ascii="Arial" w:cs="Arial" w:eastAsia="Arial" w:hAnsi="Arial"/>
          <w:sz w:val="17"/>
          <w:szCs w:val="17"/>
          <w:color w:val="auto"/>
        </w:rPr>
        <w:t>–</w:t>
      </w:r>
      <w:r>
        <w:rPr>
          <w:rFonts w:ascii="Arial" w:cs="Arial" w:eastAsia="Arial" w:hAnsi="Arial"/>
          <w:sz w:val="17"/>
          <w:szCs w:val="17"/>
          <w:i w:val="1"/>
          <w:iCs w:val="1"/>
          <w:color w:val="auto"/>
        </w:rPr>
        <w:t xml:space="preserve"> Foreign Currency Translations Adjustment</w:t>
      </w:r>
      <w:r>
        <w:rPr>
          <w:rFonts w:ascii="Arial" w:cs="Arial" w:eastAsia="Arial" w:hAnsi="Arial"/>
          <w:sz w:val="17"/>
          <w:szCs w:val="17"/>
          <w:color w:val="auto"/>
        </w:rPr>
        <w:t>. The changes in the foreign currency translations adjustment were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fluctuation of the U.S. dollar compared to the Euro and other foreign currencies during fiscal 2021 compared to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of Cash and Working Capital</w:t>
      </w:r>
      <w:r>
        <w:rPr>
          <w:rFonts w:ascii="Arial" w:cs="Arial" w:eastAsia="Arial" w:hAnsi="Arial"/>
          <w:sz w:val="16"/>
          <w:szCs w:val="16"/>
          <w:color w:val="auto"/>
        </w:rPr>
        <w:t>. As of August 31, 2021, NTIC’s working capital, defined as current assets less current liabilities, was $25,230,893,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including $7,680,641 in cash and cash equivalents and $4,634 in available for sale securities, compared to working capital of $27,104,746,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$6,403,032 in cash and cash equivalents and $5,544,722 in available for sale securities, as of August 31, 2020. The decrease in NTIC’s working capital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the result of the purchase of property and equipment partially offset by an increase of dividends received from joint ventures and the collection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receivables.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August 31, 2021, NTIC has a revolving line of credit with PNC Bank of $5.0 million, which was increased from $3.0 million effective as of August 31, 2021. No amounts were outstanding under the line of credit as of August 31, 2021. Outstanding advances under the line of credit bear interest at the daily London Interbank Offered Rate (LIBOR) plus 250 basis points (2.50%). The revolving line of credit matures on February 22, 2022. The line of credit is governed under an amended and restated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2021, NTIC was in compliance with all debt covenants. As of August 31, 2021, NTIC did not have any letters of credit outstanding with respect to the letter of credit sub-facility available under the revolving line of credit with PNC Bank.</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fiscal 2022, NTIC expects to continue to invest directly and through its use of working capital in Harita NTI Limited,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0" w:name="page51"/>
    <w:bookmarkEnd w:id="50"/>
    <w:p>
      <w:pPr>
        <w:ind w:right="140"/>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Uses of Cash and Cash Flow. </w:t>
      </w:r>
      <w:r>
        <w:rPr>
          <w:rFonts w:ascii="Arial" w:cs="Arial" w:eastAsia="Arial" w:hAnsi="Arial"/>
          <w:sz w:val="18"/>
          <w:szCs w:val="18"/>
          <w:color w:val="auto"/>
        </w:rPr>
        <w:t>Net cash provided by operating activities during fiscal 2021 was $2,892,940, which resulted principally from NTIC’s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dividends received from joint ventures, stock-based compensation, depreciation, amortization and increases in accounts payable and accrued liabilities, partially offset by NTIC’s equity in income from joint ventures and an increase in accounts receivable and prepaid expenses and other. Net cash provided by operating activities during fiscal 2020 was $4,912,070, which resulted principally from dividends received from joint ventures, stock-based compensation, depreciation, amortization and deferred income taxes, partially offset by NTIC’s net loss, equity in income from joint ventures, and decreases in accrued liabilities and accounts payable.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NTIC experienced an increase in trade receivables and an increase in inventory as of August 31, 2021 compared to August 31, 2020. Trade receivables, excluding joint ventures, as of August 31, 2021 increased $3,056,593 compared to August 31, 2020, primarily related to an increase in sales.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Outstanding trade receivables, excluding joint ventures balances, as of August 31, 2021 increased by an average of 11 days to an average of 76 days from balances outstanding from these customers as of August 31, 2020.</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Outstanding trade receivables from joint ventures as of August 31, 2021 increased $148,908 compared to August 31, 2020 primarily due to the timing of payments. Outstanding balances from trade receivables from joint ventures decreased by an average of 13 days as of August 31, 2021 to an average of 75 days from an average of 88 days from balances outstanding from these customers compared to August 31, 2020. The average days outstanding of trade receivables from joint ventures as of August 31, 2021 were primarily due to the receivable balances at NTIC’s joint ventures in Indonesia, Thailand and India.</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Outstanding receivables for services provided to joint ventures as of August 31, 2021 increased $577,841 compared to August 31, 2020, and the average days to pay increased from an average of 73 days to an average of 92 days, compared to August 31, 2020.</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cash used in investing activities during fiscal 2021 was $103,316, which was primarily the result of the purchase of available for sale securities, purchases of property and equipment and investments in patents, partially offset by proceeds from the sale of available for sale securities. Net cash used in investing activities during fiscal 2020 was $2,784,682, which was primarily the result of the purchase of available for sale securities, purchases of property and equipment and investments in patents, partially offset by proceeds from the sale of available for sale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8"/>
          <w:szCs w:val="18"/>
          <w:color w:val="auto"/>
        </w:rPr>
        <w:t>Net cash used in financing activities for fiscal 2021 was $1,522,209, which resulted from dividends paid on NTIC common stock and dividends paid to a non-controlling interest, partially offset by proceeds from NTIC’s employee stock purchase plan and proceeds from stock option exercises. Net cash used in financing activities for fiscal 2020 was $1,518,005, which resulted from dividends paid on NTIC common stock and a dividend paid to a non-controlling interest, partially offset by proceeds from NTIC’s employee stock purchase plan.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As of August 31, 2021, up to $2,640,548 in shares of NTIC common stock remained available for repurchase under NTIC’s stock repurchase program. No shares of NTIC common stock were repurchased during fiscal 2021 or fiscal 2020.</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During fiscal 2021, NTIC’s Board of Directors declared cash dividends on the following dates in the following amounts to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NTIC’s common stock as of the following record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2021</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3,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6"/>
        </w:trPr>
        <w:tc>
          <w:tcPr>
            <w:tcW w:w="2820" w:type="dxa"/>
            <w:vAlign w:val="bottom"/>
          </w:tcPr>
          <w:p>
            <w:pPr>
              <w:jc w:val="center"/>
              <w:spacing w:after="0"/>
              <w:rPr>
                <w:sz w:val="20"/>
                <w:szCs w:val="20"/>
                <w:color w:val="auto"/>
              </w:rPr>
            </w:pPr>
            <w:r>
              <w:rPr>
                <w:rFonts w:ascii="Arial" w:cs="Arial" w:eastAsia="Arial" w:hAnsi="Arial"/>
                <w:sz w:val="18"/>
                <w:szCs w:val="18"/>
                <w:color w:val="auto"/>
                <w:w w:val="93"/>
              </w:rPr>
              <w:t>April 23, 2021</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May 5, 2021</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May 19, 2021</w:t>
            </w:r>
          </w:p>
        </w:tc>
      </w:tr>
      <w:tr>
        <w:trPr>
          <w:trHeight w:val="216"/>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21, 2021</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4,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18, 2021</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20, 2021, NTIC’s Board of Directors declared a cash dividend of $0.07 per share of NTIC’s common stock, payable on November 17, 2021 to stockholders of record on November 3, 2021.</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fiscal 2020, NTIC’s Board of Directors declared cash dividends on the following dates in the following amounts to holders of record of NTIC’s common stock as of the following record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22, 2019</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89"/>
              </w:rPr>
              <w:t>January 22, 2020</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$0.065</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5, 2020</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April 23, 2020, NTIC announced the temporary suspension of its quarterly cash dividend pending clarity on the financial impact of COVID-19 on NTIC. Therefore, NTIC’s Board of Directors did not declare a cash dividend during the quarter ended May 31, 2020, the quarter ended August 31, 2020, or the quarter ended November 30, 2020. On January 15, 2021, NTIC announced the reinstatement of its quarterly cash dividend.</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$5,532,750 on capital expenditures during fiscal 2021, which related primarily to the purchase of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 building and equipment in China. On July 7, 2021, NTIC (Shanghai) Co., Ltd., a wholly-owned subsidiary of NTIC, entered into a Real Estate Purchase and Sales Contract with Shanghai FASTO Investment Group Limited Company, pursuant to which NTIC (Shanghai) Co., Ltd. agreed to acquire an approximately 1,950 square meter industrial building and the right to use certain real estate in the Qingpu District of Shanghai, China for a purchase price of approximately RMB 32.6 million yuan (approximately USD $5.1 million), not including approximately RMB 10 million yuan (approximately USD $1.6 million) in anticipated renovation, equipment, transaction and other costs and expenses. The property will be used as the new corporate headquarters of NTIC (Shanghai) Co., Ltd.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right="340"/>
        <w:spacing w:after="0" w:line="277" w:lineRule="auto"/>
        <w:rPr>
          <w:sz w:val="20"/>
          <w:szCs w:val="20"/>
          <w:color w:val="auto"/>
        </w:rPr>
      </w:pPr>
      <w:r>
        <w:rPr>
          <w:rFonts w:ascii="Arial" w:cs="Arial" w:eastAsia="Arial" w:hAnsi="Arial"/>
          <w:sz w:val="18"/>
          <w:szCs w:val="18"/>
          <w:color w:val="auto"/>
        </w:rPr>
        <w:t>NTIC expects to spend an aggregate of approximately $2,200,000 to $2,500,000 on capital expenditures during fiscal 2022, which it expects will relate primarily to anticipated renovation and equipment costs, as described above.</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Set forth below is information concerning NTIC’s known contractual obligations as of August 31, 2021 that are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by year starting with the twelve months ending August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Payments Due by Period</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5"/>
              </w:rPr>
              <w:t>More than</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1-3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3-5 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282,966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0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399,334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282,966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116,368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outstanding advances under NTIC’s $5,000,000 amended and restated revolving line of credit with PNC Bank bear interest at an annual rate based on daily LIBOR plus 2.50%. As of August 31, 2021, NTIC had no borrowings under the line of credit. This line of credit was increased from $3,000,000 to $5,000,000 effective as of August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NTIC established its joint venture network approximately 30 years ago as a method to increase its worldwide distribution network for ZERUST® rust and corrosion inhibiting products and services. NTIC participates, either directly or indirectly, in 18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100"/>
        <w:spacing w:after="0" w:line="290" w:lineRule="auto"/>
        <w:rPr>
          <w:sz w:val="20"/>
          <w:szCs w:val="20"/>
          <w:color w:val="auto"/>
        </w:rPr>
      </w:pPr>
      <w:r>
        <w:rPr>
          <w:rFonts w:ascii="Arial" w:cs="Arial" w:eastAsia="Arial" w:hAnsi="Arial"/>
          <w:sz w:val="16"/>
          <w:szCs w:val="16"/>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wholly-owned subsidiaries, Northern Technologies Holding Company, LLC, NTIC (Shanghai) Co., Ltd., NTIC Europe GmbH and ZERUST-EXCOR MEXICO, S. de R.L. de C.V., NTIC’s majority-owned subsidiary in Brazil, Zerust Prevenção de Corrosão S.A., NTIC’s majority-owned holding company, NTI Asean LLC, and NTIC’s majority-owned subsidiary in India, Natur-Tec India Private Limited, Natur-Tec Lanka, Zerust Singapore Pte Ltd (Zerust Singapore) and Zerust Vietnam Co. Ltd (Zerust Vietnam). NTIC’s consolidated financial statements do not include the accounts of any of its joint ventures. Effective as of September 1, 2021, Harita-NTI Limited will be consolidated in NTIC’s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Investment at Carrying Value</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5" w:name="page56"/>
    <w:bookmarkEnd w:id="55"/>
    <w:p>
      <w:pPr>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Loss)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NTIC (excluding NTIC China, Zerust Brazil, Natur-Tec India, Natur-Tec Lanka, NTI Asean, Zerust Singapore, Zerust Vietnam, Zerust Mexico,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income tax assets in the future in excess of their net recorded amount, NTIC makes an adjustment to the deferred tax asset valuation allowance, which would reduce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outstanding advances under NTIC’s $5,000,000 amended and restated revolving line of credit with PNC Bank bear interest at an annual rate based on daily LIBOR plus 2.50%. As of August 31, 2021, NTIC had no borrowings under the line of credit. This line of credit was increased from $3,000,000 to $5,000,000 effective as of August 31, 2021.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720" w:type="dxa"/>
            <w:vAlign w:val="bottom"/>
            <w:gridSpan w:val="8"/>
          </w:tcPr>
          <w:p>
            <w:pPr>
              <w:ind w:left="4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240" w:type="dxa"/>
            <w:vAlign w:val="bottom"/>
            <w:gridSpan w:val="7"/>
          </w:tcPr>
          <w:p>
            <w:pPr>
              <w:jc w:val="center"/>
              <w:ind w:right="13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9"/>
          </w:tcPr>
          <w:p>
            <w:pPr>
              <w:spacing w:after="0"/>
              <w:rPr>
                <w:sz w:val="20"/>
                <w:szCs w:val="20"/>
                <w:color w:val="auto"/>
              </w:rPr>
            </w:pPr>
            <w:r>
              <w:rPr>
                <w:rFonts w:ascii="Arial" w:cs="Arial" w:eastAsia="Arial" w:hAnsi="Arial"/>
                <w:sz w:val="18"/>
                <w:szCs w:val="18"/>
                <w:color w:val="auto"/>
              </w:rPr>
              <w:t>The following items are included herein: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412"/>
        </w:trPr>
        <w:tc>
          <w:tcPr>
            <w:tcW w:w="4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Report of Independent Registered Public Accounting Firm</w:t>
              </w:r>
            </w:hyperlink>
          </w:p>
        </w:tc>
        <w:tc>
          <w:tcPr>
            <w:tcW w:w="5120" w:type="dxa"/>
            <w:vAlign w:val="bottom"/>
            <w:gridSpan w:val="6"/>
          </w:tcPr>
          <w:p>
            <w:pPr>
              <w:spacing w:after="0"/>
              <w:rPr>
                <w:sz w:val="24"/>
                <w:szCs w:val="24"/>
                <w:color w:val="auto"/>
              </w:rPr>
            </w:pPr>
          </w:p>
        </w:tc>
        <w:tc>
          <w:tcPr>
            <w:tcW w:w="150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0000EE"/>
            </w:tcBorders>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Balance Sheets as of August 31, 2021 and 2020</w:t>
              </w:r>
            </w:hyperlink>
          </w:p>
        </w:tc>
        <w:tc>
          <w:tcPr>
            <w:tcW w:w="4960" w:type="dxa"/>
            <w:vAlign w:val="bottom"/>
            <w:gridSpan w:val="5"/>
          </w:tcPr>
          <w:p>
            <w:pPr>
              <w:spacing w:after="0"/>
              <w:rPr>
                <w:sz w:val="17"/>
                <w:szCs w:val="17"/>
                <w:color w:val="auto"/>
              </w:rPr>
            </w:pPr>
          </w:p>
        </w:tc>
        <w:tc>
          <w:tcPr>
            <w:tcW w:w="166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 for the years ended August 31, 2021 and 2020</w:t>
              </w:r>
            </w:hyperlink>
          </w:p>
        </w:tc>
        <w:tc>
          <w:tcPr>
            <w:tcW w:w="184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Comprehensive Income (Loss) for the years ended August 31, 2021</w:t>
              </w:r>
            </w:hyperlink>
          </w:p>
        </w:tc>
        <w:tc>
          <w:tcPr>
            <w:tcW w:w="1840" w:type="dxa"/>
            <w:vAlign w:val="bottom"/>
            <w:gridSpan w:val="4"/>
            <w:vMerge w:val="restart"/>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88"/>
        </w:trPr>
        <w:tc>
          <w:tcPr>
            <w:tcW w:w="680" w:type="dxa"/>
            <w:vAlign w:val="bottom"/>
            <w:tcBorders>
              <w:top w:val="single" w:sz="8" w:color="0000EE"/>
            </w:tcBorders>
            <w:vMerge w:val="restart"/>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and 2020</w:t>
              </w:r>
            </w:hyperlink>
          </w:p>
        </w:tc>
        <w:tc>
          <w:tcPr>
            <w:tcW w:w="2480" w:type="dxa"/>
            <w:vAlign w:val="bottom"/>
            <w:tcBorders>
              <w:top w:val="single" w:sz="8" w:color="0000EE"/>
            </w:tcBorders>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960" w:type="dxa"/>
            <w:vAlign w:val="bottom"/>
            <w:tcBorders>
              <w:top w:val="single" w:sz="8" w:color="0000EE"/>
            </w:tcBorders>
          </w:tcPr>
          <w:p>
            <w:pPr>
              <w:spacing w:after="0"/>
              <w:rPr>
                <w:sz w:val="7"/>
                <w:szCs w:val="7"/>
                <w:color w:val="auto"/>
              </w:rPr>
            </w:pPr>
          </w:p>
        </w:tc>
        <w:tc>
          <w:tcPr>
            <w:tcW w:w="220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0000EE"/>
              <w:bottom w:val="single" w:sz="8" w:color="0000EE"/>
            </w:tcBorders>
            <w:vMerge w:val="continue"/>
          </w:tcPr>
          <w:p>
            <w:pPr>
              <w:spacing w:after="0"/>
              <w:rPr>
                <w:sz w:val="7"/>
                <w:szCs w:val="7"/>
                <w:color w:val="auto"/>
              </w:rPr>
            </w:pPr>
          </w:p>
        </w:tc>
        <w:tc>
          <w:tcPr>
            <w:tcW w:w="2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Equity for the years ended August 31, 2021 and 2020</w:t>
              </w:r>
            </w:hyperlink>
          </w:p>
        </w:tc>
        <w:tc>
          <w:tcPr>
            <w:tcW w:w="3520" w:type="dxa"/>
            <w:vAlign w:val="bottom"/>
            <w:gridSpan w:val="4"/>
          </w:tcPr>
          <w:p>
            <w:pPr>
              <w:spacing w:after="0"/>
              <w:rPr>
                <w:sz w:val="17"/>
                <w:szCs w:val="17"/>
                <w:color w:val="auto"/>
              </w:rPr>
            </w:pPr>
          </w:p>
        </w:tc>
        <w:tc>
          <w:tcPr>
            <w:tcW w:w="166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940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August 31, 2021 and 2020</w:t>
              </w:r>
            </w:hyperlink>
          </w:p>
        </w:tc>
        <w:tc>
          <w:tcPr>
            <w:tcW w:w="184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316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66">
              <w:r>
                <w:rPr>
                  <w:rFonts w:ascii="Arial" w:cs="Arial" w:eastAsia="Arial" w:hAnsi="Arial"/>
                  <w:sz w:val="18"/>
                  <w:szCs w:val="18"/>
                  <w:color w:val="0000EE"/>
                  <w:w w:val="86"/>
                </w:rPr>
                <w:t>62-80</w:t>
              </w:r>
            </w:hyperlink>
          </w:p>
        </w:tc>
        <w:tc>
          <w:tcPr>
            <w:tcW w:w="0" w:type="dxa"/>
            <w:vAlign w:val="bottom"/>
          </w:tcPr>
          <w:p>
            <w:pPr>
              <w:spacing w:after="0"/>
              <w:rPr>
                <w:sz w:val="1"/>
                <w:szCs w:val="1"/>
                <w:color w:val="auto"/>
              </w:rPr>
            </w:pPr>
          </w:p>
        </w:tc>
      </w:tr>
      <w:tr>
        <w:trPr>
          <w:trHeight w:val="884"/>
        </w:trPr>
        <w:tc>
          <w:tcPr>
            <w:tcW w:w="680" w:type="dxa"/>
            <w:vAlign w:val="bottom"/>
          </w:tcPr>
          <w:p>
            <w:pPr>
              <w:spacing w:after="0"/>
              <w:rPr>
                <w:sz w:val="24"/>
                <w:szCs w:val="24"/>
                <w:color w:val="auto"/>
              </w:rPr>
            </w:pPr>
          </w:p>
        </w:tc>
        <w:tc>
          <w:tcPr>
            <w:tcW w:w="5200" w:type="dxa"/>
            <w:vAlign w:val="bottom"/>
            <w:gridSpan w:val="4"/>
          </w:tcPr>
          <w:p>
            <w:pPr>
              <w:jc w:val="right"/>
              <w:ind w:right="16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(the "Company") as of August 31, 2021 and 2020, the related consolidated statements of operations, comprehensive income (loss), equity, and cash flows, for each of the two years in the period ended August 31, 2021, and the related notes (collectively referred to as the "consolidated financial statements"). In our opinion, the consolidated financial statements present fairly, in all material respects, the financial position of the Company as of August 31, 2021 and 2020, and the results of its operations and its cash flows for each of the two years in the period ended August 31, 2021,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0" w:name="page61"/>
    <w:bookmarkEnd w:id="60"/>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2021 AND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31, 2021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August 31, 2020</w:t>
            </w: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7,680,641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6,403,032</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5,544,722</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2"/>
        </w:trPr>
        <w:tc>
          <w:tcPr>
            <w:tcW w:w="7860" w:type="dxa"/>
            <w:vAlign w:val="bottom"/>
          </w:tcPr>
          <w:p>
            <w:pPr>
              <w:ind w:left="50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$382,000 as of August 31,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2021 and $90,000 as of August 31, 2020</w:t>
            </w:r>
          </w:p>
        </w:tc>
        <w:tc>
          <w:tcPr>
            <w:tcW w:w="1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11,128,805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8,072,212</w:t>
            </w:r>
          </w:p>
        </w:tc>
      </w:tr>
      <w:tr>
        <w:trPr>
          <w:trHeight w:val="216"/>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624,808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475,900</w:t>
            </w:r>
          </w:p>
        </w:tc>
      </w:tr>
      <w:tr>
        <w:trPr>
          <w:trHeight w:val="216"/>
        </w:trPr>
        <w:tc>
          <w:tcPr>
            <w:tcW w:w="7860" w:type="dxa"/>
            <w:vAlign w:val="bottom"/>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1,505,127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927,286</w:t>
            </w:r>
          </w:p>
        </w:tc>
      </w:tr>
      <w:tr>
        <w:trPr>
          <w:trHeight w:val="216"/>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19,907</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11,114,207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10,961,796</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797,495</w:t>
            </w: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33,747,089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33,202,350</w:t>
            </w:r>
          </w:p>
        </w:tc>
      </w:tr>
      <w:tr>
        <w:trPr>
          <w:trHeight w:val="210"/>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11,821,458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7,110,789</w:t>
            </w:r>
          </w:p>
        </w:tc>
      </w:tr>
      <w:tr>
        <w:trPr>
          <w:trHeight w:val="209"/>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27,623,768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24,090,826</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209,729</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802,006</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Operating lease right of use asset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376,438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658,788</w:t>
            </w:r>
          </w:p>
        </w:tc>
      </w:tr>
      <w:tr>
        <w:trPr>
          <w:trHeight w:val="210"/>
        </w:trPr>
        <w:tc>
          <w:tcPr>
            <w:tcW w:w="7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28,802,332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25,761,349</w:t>
            </w:r>
          </w:p>
        </w:tc>
      </w:tr>
      <w:tr>
        <w:trPr>
          <w:trHeight w:val="210"/>
        </w:trPr>
        <w:tc>
          <w:tcPr>
            <w:tcW w:w="78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74,370,879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66,074,488</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4,290,972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3,205,241</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310,922</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Payroll and related benefits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2,879,468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1,314,978</w:t>
            </w:r>
          </w:p>
        </w:tc>
      </w:tr>
      <w:tr>
        <w:trPr>
          <w:trHeight w:val="216"/>
        </w:trPr>
        <w:tc>
          <w:tcPr>
            <w:tcW w:w="7860" w:type="dxa"/>
            <w:vAlign w:val="bottom"/>
          </w:tcPr>
          <w:p>
            <w:pPr>
              <w:ind w:left="5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894,497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880,118</w:t>
            </w:r>
          </w:p>
        </w:tc>
      </w:tr>
      <w:tr>
        <w:trPr>
          <w:trHeight w:val="21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386,345</w:t>
            </w:r>
          </w:p>
        </w:tc>
      </w:tr>
      <w:tr>
        <w:trPr>
          <w:trHeight w:val="210"/>
        </w:trPr>
        <w:tc>
          <w:tcPr>
            <w:tcW w:w="78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8,516,196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6,097,604</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Operating lease, less current portion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272,443</w:t>
            </w:r>
          </w:p>
        </w:tc>
      </w:tr>
      <w:tr>
        <w:trPr>
          <w:trHeight w:val="21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272,443</w:t>
            </w:r>
          </w:p>
        </w:tc>
      </w:tr>
      <w:tr>
        <w:trPr>
          <w:trHeight w:val="210"/>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8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$0.02 par value per share; authorized 15,000,000 shares as of August 31, 2021 and</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August 31, 2020; issued and outstanding 9,184,811 and 9,099,990, respectively</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182,000</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18,736,268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17,415,043</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46,973,092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42,472,810</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(3,525,030)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(3,410,438)</w:t>
            </w:r>
          </w:p>
        </w:tc>
      </w:tr>
      <w:tr>
        <w:trPr>
          <w:trHeight w:val="210"/>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62,368,026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56,659,415</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3,382,555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3,045,026</w:t>
            </w:r>
          </w:p>
        </w:tc>
      </w:tr>
      <w:tr>
        <w:trPr>
          <w:trHeight w:val="209"/>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65,750,581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59,704,441</w:t>
            </w:r>
          </w:p>
        </w:tc>
      </w:tr>
      <w:tr>
        <w:trPr>
          <w:trHeight w:val="210"/>
        </w:trPr>
        <w:tc>
          <w:tcPr>
            <w:tcW w:w="786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74,370,879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66,074,488</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1" w:name="page62"/>
    <w:bookmarkEnd w:id="61"/>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0"/>
        </w:trPr>
        <w:tc>
          <w:tcPr>
            <w:tcW w:w="7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Net sales, excluding joint ventures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53,470,623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45,666,045</w:t>
            </w:r>
          </w:p>
        </w:tc>
      </w:tr>
      <w:tr>
        <w:trPr>
          <w:trHeight w:val="216"/>
        </w:trPr>
        <w:tc>
          <w:tcPr>
            <w:tcW w:w="7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 to joint ventures</w:t>
            </w: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3,023,196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1,972,646</w:t>
            </w:r>
          </w:p>
        </w:tc>
      </w:tr>
      <w:tr>
        <w:trPr>
          <w:trHeight w:val="210"/>
        </w:trPr>
        <w:tc>
          <w:tcPr>
            <w:tcW w:w="74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56,493,819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47,638,691</w:t>
            </w:r>
          </w:p>
        </w:tc>
      </w:tr>
      <w:tr>
        <w:trPr>
          <w:trHeight w:val="216"/>
        </w:trPr>
        <w:tc>
          <w:tcPr>
            <w:tcW w:w="7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36,920,814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31,609,274</w:t>
            </w:r>
          </w:p>
        </w:tc>
      </w:tr>
      <w:tr>
        <w:trPr>
          <w:trHeight w:val="209"/>
        </w:trPr>
        <w:tc>
          <w:tcPr>
            <w:tcW w:w="74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19,573,005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16,029,417</w:t>
            </w:r>
          </w:p>
        </w:tc>
      </w:tr>
      <w:tr>
        <w:trPr>
          <w:trHeight w:val="216"/>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income from joint ventures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7,465,214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4,270,327</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Fees for services provided to joint ventures</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5,964,260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4,612,885</w:t>
            </w:r>
          </w:p>
        </w:tc>
      </w:tr>
      <w:tr>
        <w:trPr>
          <w:trHeight w:val="209"/>
        </w:trPr>
        <w:tc>
          <w:tcPr>
            <w:tcW w:w="7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 Total joint venture operations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13,429,474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8,883,212</w:t>
            </w:r>
          </w:p>
        </w:tc>
      </w:tr>
      <w:tr>
        <w:trPr>
          <w:trHeight w:val="216"/>
        </w:trPr>
        <w:tc>
          <w:tcPr>
            <w:tcW w:w="7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3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12,016,974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10,656,689</w:t>
            </w:r>
          </w:p>
        </w:tc>
      </w:tr>
      <w:tr>
        <w:trPr>
          <w:trHeight w:val="216"/>
        </w:trPr>
        <w:tc>
          <w:tcPr>
            <w:tcW w:w="7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8,262,173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8,688,309</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4,400,479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3,979,455</w:t>
            </w:r>
          </w:p>
        </w:tc>
      </w:tr>
      <w:tr>
        <w:trPr>
          <w:trHeight w:val="210"/>
        </w:trPr>
        <w:tc>
          <w:tcPr>
            <w:tcW w:w="7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24,679,626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23,324,453</w:t>
            </w:r>
          </w:p>
        </w:tc>
      </w:tr>
      <w:tr>
        <w:trPr>
          <w:trHeight w:val="216"/>
        </w:trPr>
        <w:tc>
          <w:tcPr>
            <w:tcW w:w="7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8,322,853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1,588,176</w:t>
            </w:r>
          </w:p>
        </w:tc>
      </w:tr>
      <w:tr>
        <w:trPr>
          <w:trHeight w:val="216"/>
        </w:trPr>
        <w:tc>
          <w:tcPr>
            <w:tcW w:w="7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151,875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167,733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w:t>
            </w:r>
          </w:p>
        </w:tc>
      </w:tr>
      <w:tr>
        <w:trPr>
          <w:trHeight w:val="210"/>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8,458,642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1,739,875</w:t>
            </w:r>
          </w:p>
        </w:tc>
      </w:tr>
      <w:tr>
        <w:trPr>
          <w:trHeight w:val="216"/>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1,461,905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2,674,635</w:t>
            </w:r>
          </w:p>
        </w:tc>
      </w:tr>
      <w:tr>
        <w:trPr>
          <w:trHeight w:val="210"/>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6,996,737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(934,760)</w:t>
            </w:r>
          </w:p>
        </w:tc>
      </w:tr>
      <w:tr>
        <w:trPr>
          <w:trHeight w:val="216"/>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715,499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402,949</w:t>
            </w:r>
          </w:p>
        </w:tc>
      </w:tr>
      <w:tr>
        <w:trPr>
          <w:trHeight w:val="209"/>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(LOSS) ATTRIBUTABLE TO NTIC</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6,281,238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(1,337,709)</w:t>
            </w:r>
          </w:p>
        </w:tc>
      </w:tr>
      <w:tr>
        <w:trPr>
          <w:trHeight w:val="20"/>
        </w:trPr>
        <w:tc>
          <w:tcPr>
            <w:tcW w:w="7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(LOSS) ATTRIBUTABLE TO NTIC PER COMMON SHARE:</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6"/>
        </w:trPr>
        <w:tc>
          <w:tcPr>
            <w:tcW w:w="7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4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0.64</w:t>
            </w:r>
          </w:p>
        </w:tc>
        <w:tc>
          <w:tcPr>
            <w:tcW w:w="5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(0.15)</w:t>
            </w:r>
          </w:p>
        </w:tc>
      </w:tr>
      <w:tr>
        <w:trPr>
          <w:trHeight w:val="20"/>
        </w:trPr>
        <w:tc>
          <w:tcPr>
            <w:tcW w:w="7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6"/>
        </w:trPr>
        <w:tc>
          <w:tcPr>
            <w:tcW w:w="7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9,116,472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9,096,981</w:t>
            </w:r>
          </w:p>
        </w:tc>
      </w:tr>
      <w:tr>
        <w:trPr>
          <w:trHeight w:val="196"/>
        </w:trPr>
        <w:tc>
          <w:tcPr>
            <w:tcW w:w="74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9,874,139</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9,096,981</w:t>
            </w:r>
          </w:p>
        </w:tc>
      </w:tr>
      <w:tr>
        <w:trPr>
          <w:trHeight w:val="210"/>
        </w:trPr>
        <w:tc>
          <w:tcPr>
            <w:tcW w:w="7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0.13</w:t>
            </w:r>
          </w:p>
        </w:tc>
      </w:tr>
      <w:tr>
        <w:trPr>
          <w:trHeight w:val="426"/>
        </w:trPr>
        <w:tc>
          <w:tcPr>
            <w:tcW w:w="7400" w:type="dxa"/>
            <w:vAlign w:val="bottom"/>
          </w:tcPr>
          <w:p>
            <w:pPr>
              <w:ind w:left="3960"/>
              <w:spacing w:after="0"/>
              <w:rPr>
                <w:sz w:val="20"/>
                <w:szCs w:val="20"/>
                <w:color w:val="auto"/>
              </w:rPr>
            </w:pPr>
            <w:r>
              <w:rPr>
                <w:rFonts w:ascii="Arial" w:cs="Arial" w:eastAsia="Arial" w:hAnsi="Arial"/>
                <w:sz w:val="18"/>
                <w:szCs w:val="18"/>
                <w:color w:val="auto"/>
                <w:w w:val="90"/>
              </w:rPr>
              <w:t>See notes to consolidated financial statements.</w:t>
            </w:r>
          </w:p>
        </w:tc>
        <w:tc>
          <w:tcPr>
            <w:tcW w:w="3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432"/>
        </w:trPr>
        <w:tc>
          <w:tcPr>
            <w:tcW w:w="7400" w:type="dxa"/>
            <w:vAlign w:val="bottom"/>
          </w:tcPr>
          <w:p>
            <w:pPr>
              <w:ind w:left="554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7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4" w:right="339" w:bottom="1440" w:gutter="0" w:footer="0" w:header="0"/>
        </w:sectPr>
      </w:pPr>
    </w:p>
    <w:bookmarkStart w:id="62" w:name="page63"/>
    <w:bookmarkEnd w:id="62"/>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6,996,737</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(934,760)</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 FOREIGN CURRENCY TRANSLATION</w:t>
            </w:r>
          </w:p>
        </w:tc>
        <w:tc>
          <w:tcPr>
            <w:tcW w:w="3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(92,562)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1,150,138</w:t>
            </w:r>
          </w:p>
        </w:tc>
        <w:tc>
          <w:tcPr>
            <w:tcW w:w="0" w:type="dxa"/>
            <w:vAlign w:val="bottom"/>
          </w:tcPr>
          <w:p>
            <w:pPr>
              <w:spacing w:after="0"/>
              <w:rPr>
                <w:sz w:val="1"/>
                <w:szCs w:val="1"/>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6,904,175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215,378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(370,347)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6,166,646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(154,969)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60"/>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tcPr>
          <w:p>
            <w:pPr>
              <w:ind w:left="554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4" w:right="339" w:bottom="1440" w:gutter="0" w:footer="0" w:header="0"/>
        </w:sectPr>
      </w:pPr>
    </w:p>
    <w:bookmarkStart w:id="63" w:name="page64"/>
    <w:bookmarkEnd w:id="63"/>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08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Additional</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Paid-in</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00" w:type="dxa"/>
            <w:vAlign w:val="bottom"/>
          </w:tcPr>
          <w:p>
            <w:pPr>
              <w:jc w:val="right"/>
              <w:ind w:right="29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5"/>
              </w:rPr>
              <w:t>Loss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9,086,816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$16,013,338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$44,992,719</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(4,593,178)</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$ 3,074,679</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$59,669,294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6,823</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6,351</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64,068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64,195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1,337,774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1,337,774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(1,182,200)</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(1,337,709)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402,949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(934,760)</w:t>
            </w:r>
          </w:p>
        </w:tc>
        <w:tc>
          <w:tcPr>
            <w:tcW w:w="0" w:type="dxa"/>
            <w:vAlign w:val="bottom"/>
          </w:tcPr>
          <w:p>
            <w:pPr>
              <w:spacing w:after="0"/>
              <w:rPr>
                <w:sz w:val="1"/>
                <w:szCs w:val="1"/>
                <w:color w:val="auto"/>
              </w:rPr>
            </w:pPr>
          </w:p>
        </w:tc>
      </w:tr>
      <w:tr>
        <w:trPr>
          <w:trHeight w:val="162"/>
        </w:trPr>
        <w:tc>
          <w:tcPr>
            <w:tcW w:w="324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1,182,740</w:t>
            </w:r>
          </w:p>
        </w:tc>
        <w:tc>
          <w:tcPr>
            <w:tcW w:w="11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1,150,138</w:t>
            </w:r>
          </w:p>
        </w:tc>
        <w:tc>
          <w:tcPr>
            <w:tcW w:w="0" w:type="dxa"/>
            <w:vAlign w:val="bottom"/>
          </w:tcPr>
          <w:p>
            <w:pPr>
              <w:spacing w:after="0"/>
              <w:rPr>
                <w:sz w:val="1"/>
                <w:szCs w:val="1"/>
                <w:color w:val="auto"/>
              </w:rPr>
            </w:pPr>
          </w:p>
        </w:tc>
      </w:tr>
      <w:tr>
        <w:trPr>
          <w:trHeight w:val="68"/>
        </w:trPr>
        <w:tc>
          <w:tcPr>
            <w:tcW w:w="3240" w:type="dxa"/>
            <w:vAlign w:val="bottom"/>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120" w:type="dxa"/>
            <w:vAlign w:val="bottom"/>
            <w:tcBorders>
              <w:bottom w:val="single" w:sz="8" w:color="auto"/>
            </w:tcBorders>
          </w:tcPr>
          <w:p>
            <w:pPr>
              <w:jc w:val="right"/>
              <w:ind w:right="53"/>
              <w:spacing w:after="0" w:line="68" w:lineRule="exact"/>
              <w:rPr>
                <w:sz w:val="20"/>
                <w:szCs w:val="20"/>
                <w:color w:val="auto"/>
              </w:rPr>
            </w:pPr>
            <w:r>
              <w:rPr>
                <w:rFonts w:ascii="Arial" w:cs="Arial" w:eastAsia="Arial" w:hAnsi="Arial"/>
                <w:sz w:val="7"/>
                <w:szCs w:val="7"/>
                <w:color w:val="auto"/>
              </w:rPr>
              <w:t>(32,602</w:t>
            </w: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2020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$17,415,043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$42,472,810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(3,410,438)</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$ 3,045,026</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$59,704,441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74,950</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582,915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584,414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9,871</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74,136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74,333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664,174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664,174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(1,780,956)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(1,780,956)</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6,281,238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715,499</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6,996,737</w:t>
            </w:r>
          </w:p>
        </w:tc>
        <w:tc>
          <w:tcPr>
            <w:tcW w:w="0" w:type="dxa"/>
            <w:vAlign w:val="bottom"/>
          </w:tcPr>
          <w:p>
            <w:pPr>
              <w:spacing w:after="0"/>
              <w:rPr>
                <w:sz w:val="1"/>
                <w:szCs w:val="1"/>
                <w:color w:val="auto"/>
              </w:rPr>
            </w:pPr>
          </w:p>
        </w:tc>
      </w:tr>
      <w:tr>
        <w:trPr>
          <w:trHeight w:val="162"/>
        </w:trPr>
        <w:tc>
          <w:tcPr>
            <w:tcW w:w="324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3"/>
              <w:spacing w:after="0"/>
              <w:rPr>
                <w:sz w:val="20"/>
                <w:szCs w:val="20"/>
                <w:color w:val="auto"/>
              </w:rPr>
            </w:pPr>
            <w:r>
              <w:rPr>
                <w:rFonts w:ascii="Arial" w:cs="Arial" w:eastAsia="Arial" w:hAnsi="Arial"/>
                <w:sz w:val="18"/>
                <w:szCs w:val="18"/>
                <w:color w:val="auto"/>
              </w:rPr>
              <w:t>22,030</w:t>
            </w:r>
          </w:p>
        </w:tc>
        <w:tc>
          <w:tcPr>
            <w:tcW w:w="110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240" w:type="dxa"/>
            <w:vAlign w:val="bottom"/>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tcPr>
          <w:p>
            <w:pPr>
              <w:jc w:val="right"/>
              <w:ind w:right="120"/>
              <w:spacing w:after="0" w:line="68" w:lineRule="exact"/>
              <w:rPr>
                <w:sz w:val="20"/>
                <w:szCs w:val="20"/>
                <w:color w:val="auto"/>
              </w:rPr>
            </w:pPr>
            <w:r>
              <w:rPr>
                <w:rFonts w:ascii="Arial" w:cs="Arial" w:eastAsia="Arial" w:hAnsi="Arial"/>
                <w:sz w:val="7"/>
                <w:szCs w:val="7"/>
                <w:color w:val="auto"/>
              </w:rPr>
              <w:t>(114,592</w:t>
            </w:r>
          </w:p>
        </w:tc>
        <w:tc>
          <w:tcPr>
            <w:tcW w:w="1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jc w:val="right"/>
              <w:ind w:right="13"/>
              <w:spacing w:after="0" w:line="68" w:lineRule="exact"/>
              <w:rPr>
                <w:sz w:val="20"/>
                <w:szCs w:val="20"/>
                <w:color w:val="auto"/>
              </w:rPr>
            </w:pPr>
            <w:r>
              <w:rPr>
                <w:rFonts w:ascii="Arial" w:cs="Arial" w:eastAsia="Arial" w:hAnsi="Arial"/>
                <w:sz w:val="7"/>
                <w:szCs w:val="7"/>
                <w:color w:val="auto"/>
              </w:rPr>
              <w:t>(92,562</w:t>
            </w:r>
          </w:p>
        </w:tc>
        <w:tc>
          <w:tcPr>
            <w:tcW w:w="0" w:type="dxa"/>
            <w:vAlign w:val="bottom"/>
          </w:tcPr>
          <w:p>
            <w:pPr>
              <w:spacing w:after="0"/>
              <w:rPr>
                <w:sz w:val="1"/>
                <w:szCs w:val="1"/>
                <w:color w:val="auto"/>
              </w:rPr>
            </w:pPr>
          </w:p>
        </w:tc>
      </w:tr>
      <w:tr>
        <w:trPr>
          <w:trHeight w:val="29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 31, 2021</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9,184,811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183,696</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$18,736,268</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$46,973,092</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line="250" w:lineRule="exact"/>
              <w:rPr>
                <w:sz w:val="20"/>
                <w:szCs w:val="20"/>
                <w:color w:val="auto"/>
              </w:rPr>
            </w:pPr>
            <w:r>
              <w:rPr>
                <w:rFonts w:ascii="Arial" w:cs="Arial" w:eastAsia="Arial" w:hAnsi="Arial"/>
                <w:sz w:val="15"/>
                <w:szCs w:val="15"/>
                <w:color w:val="auto"/>
              </w:rPr>
              <w:t>(3,525,030</w:t>
            </w:r>
            <w:r>
              <w:rPr>
                <w:rFonts w:ascii="Arial" w:cs="Arial" w:eastAsia="Arial" w:hAnsi="Arial"/>
                <w:sz w:val="28"/>
                <w:szCs w:val="28"/>
                <w:color w:val="auto"/>
                <w:vertAlign w:val="superscript"/>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$ 3,382,555</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$65,750,581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4" w:name="page65"/>
    <w:bookmarkEnd w:id="64"/>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6,996,737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(934,760)</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664,174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1,337,774</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836,601</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231,624</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(7,465,214)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(4,270,327)</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3,665,365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5,672,099</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Loss on disposal of property and patents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173,810</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1,424,529</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660"/>
              <w:spacing w:after="0"/>
              <w:rPr>
                <w:sz w:val="20"/>
                <w:szCs w:val="20"/>
                <w:color w:val="auto"/>
              </w:rPr>
            </w:pPr>
            <w:r>
              <w:rPr>
                <w:rFonts w:ascii="Arial" w:cs="Arial" w:eastAsia="Arial" w:hAnsi="Arial"/>
                <w:sz w:val="18"/>
                <w:szCs w:val="18"/>
                <w:color w:val="auto"/>
              </w:rPr>
              <w:t>Trade, excluding joint ventures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(3,030,655)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1,680,611</w:t>
            </w:r>
          </w:p>
        </w:tc>
      </w:tr>
      <w:tr>
        <w:trPr>
          <w:trHeight w:val="216"/>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joint ventures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348,573</w:t>
            </w:r>
          </w:p>
        </w:tc>
      </w:tr>
      <w:tr>
        <w:trPr>
          <w:trHeight w:val="216"/>
        </w:trPr>
        <w:tc>
          <w:tcPr>
            <w:tcW w:w="7240" w:type="dxa"/>
            <w:vAlign w:val="bottom"/>
          </w:tcPr>
          <w:p>
            <w:pPr>
              <w:ind w:left="660"/>
              <w:spacing w:after="0"/>
              <w:rPr>
                <w:sz w:val="20"/>
                <w:szCs w:val="20"/>
                <w:color w:val="auto"/>
              </w:rPr>
            </w:pPr>
            <w:r>
              <w:rPr>
                <w:rFonts w:ascii="Arial" w:cs="Arial" w:eastAsia="Arial" w:hAnsi="Arial"/>
                <w:sz w:val="18"/>
                <w:szCs w:val="18"/>
                <w:color w:val="auto"/>
              </w:rPr>
              <w:t>Fees for services provided to joint ventures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340,714</w:t>
            </w:r>
          </w:p>
        </w:tc>
      </w:tr>
      <w:tr>
        <w:trPr>
          <w:trHeight w:val="216"/>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424,002</w:t>
            </w: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(435,712)</w:t>
            </w:r>
          </w:p>
        </w:tc>
      </w:tr>
      <w:tr>
        <w:trPr>
          <w:trHeight w:val="216"/>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279,312</w:t>
            </w: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866,597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(1,229,510)</w:t>
            </w:r>
          </w:p>
        </w:tc>
      </w:tr>
      <w:tr>
        <w:trPr>
          <w:trHeight w:val="216"/>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payable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302,641</w:t>
            </w:r>
          </w:p>
        </w:tc>
      </w:tr>
      <w:tr>
        <w:trPr>
          <w:trHeight w:val="216"/>
        </w:trPr>
        <w:tc>
          <w:tcPr>
            <w:tcW w:w="72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1,389,804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(1,294,911)</w:t>
            </w:r>
          </w:p>
        </w:tc>
      </w:tr>
      <w:tr>
        <w:trPr>
          <w:trHeight w:val="210"/>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2,892,940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4,912,070</w:t>
            </w:r>
          </w:p>
        </w:tc>
      </w:tr>
      <w:tr>
        <w:trPr>
          <w:trHeight w:val="216"/>
        </w:trPr>
        <w:tc>
          <w:tcPr>
            <w:tcW w:w="7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2,190</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the sale of available for sale securities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6,340,088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2,020,536</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(711,412)</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Investments in patents</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(95,996)</w:t>
            </w:r>
          </w:p>
        </w:tc>
      </w:tr>
      <w:tr>
        <w:trPr>
          <w:trHeight w:val="210"/>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(2,784,682)</w:t>
            </w:r>
          </w:p>
        </w:tc>
      </w:tr>
      <w:tr>
        <w:trPr>
          <w:trHeight w:val="216"/>
        </w:trPr>
        <w:tc>
          <w:tcPr>
            <w:tcW w:w="7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Dividend received by non-controlling interest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on NTIC common stock</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(1,182,200)</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64,195</w:t>
            </w:r>
          </w:p>
        </w:tc>
      </w:tr>
      <w:tr>
        <w:trPr>
          <w:trHeight w:val="216"/>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584,414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24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(1,522,209)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(1,518,005)</w:t>
            </w:r>
          </w:p>
        </w:tc>
      </w:tr>
      <w:tr>
        <w:trPr>
          <w:trHeight w:val="216"/>
        </w:trPr>
        <w:tc>
          <w:tcPr>
            <w:tcW w:w="7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(63,109)</w:t>
            </w:r>
          </w:p>
        </w:tc>
      </w:tr>
      <w:tr>
        <w:trPr>
          <w:trHeight w:val="210"/>
        </w:trPr>
        <w:tc>
          <w:tcPr>
            <w:tcW w:w="7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1,277,609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546,274</w:t>
            </w:r>
          </w:p>
        </w:tc>
      </w:tr>
      <w:tr>
        <w:trPr>
          <w:trHeight w:val="216"/>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6,403,032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5,856,758</w:t>
            </w:r>
          </w:p>
        </w:tc>
      </w:tr>
      <w:tr>
        <w:trPr>
          <w:trHeight w:val="210"/>
        </w:trPr>
        <w:tc>
          <w:tcPr>
            <w:tcW w:w="7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7,680,641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6,403,032</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65" w:name="page66"/>
    <w:bookmarkEnd w:id="65"/>
    <w:p>
      <w:pPr>
        <w:ind w:right="4600"/>
        <w:spacing w:after="0" w:line="244" w:lineRule="auto"/>
        <w:rPr>
          <w:sz w:val="20"/>
          <w:szCs w:val="20"/>
          <w:color w:val="auto"/>
        </w:rPr>
      </w:pPr>
      <w:r>
        <w:rPr>
          <w:rFonts w:ascii="Arial" w:cs="Arial" w:eastAsia="Arial" w:hAnsi="Arial"/>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Nature of Business </w:t>
      </w:r>
      <w:r>
        <w:rPr>
          <w:rFonts w:ascii="Arial" w:cs="Arial" w:eastAsia="Arial" w:hAnsi="Arial"/>
          <w:sz w:val="18"/>
          <w:szCs w:val="18"/>
          <w:color w:val="auto"/>
        </w:rPr>
        <w:t>– Northern Technologies International Corporation and its Subsidiaries (collectively, the Company) develop and market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environmentally beneficial products and services in over 65 countries either directly or via a network of joint ventures, independent distributors, and agents. The Company’s primary business is corrosion prevention marketed mainly under the ZERUST® brand. The Company has been selling its proprietary ZERUST® rust and corrosion inhibiting products and services to the automotive, electronics, electrical, mechanical, military, and retail consumer markets for over 45 years and, more recently, has targeted and expanded into the oil and gas industry. The Company also sells a portfolio of bio-based and certified compostable (fully biodegradable) polymer resin compounds and finished products under the Natur-Tec® brand. These products are intended to reduce the Company’s customers’ carbon footprint and provide environmentally sound disposal options. The Company’s two operating segments are ZERUST and Natur-Tec.</w:t>
      </w:r>
    </w:p>
    <w:p>
      <w:pPr>
        <w:spacing w:after="0" w:line="19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Company participates, either directly or indirectly, in 18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Impact of COVID-19 Pandemic </w:t>
      </w:r>
      <w:r>
        <w:rPr>
          <w:rFonts w:ascii="Arial" w:cs="Arial" w:eastAsia="Arial" w:hAnsi="Arial"/>
          <w:sz w:val="16"/>
          <w:szCs w:val="16"/>
          <w:color w:val="auto"/>
        </w:rPr>
        <w:t>– In March 2020, the World Health Organization declared the novel coronavirus (COVID-19) outbreak a global pandemic.</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and is expected to continue into fiscal 2022. In fiscal year 2021, the Company was impacted by shipping issues, including freight container shortages, shipping delays, and increased costs, and supply chain issues, including longer lead times and raw material cost increases.</w:t>
      </w: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NTIC evaluates its voting and variable interests in entities on a qualitative and quantitative basis. NTIC consolidates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ZERUST-EXCOR MEXICO, S. de R.L. de C.V (Zerust Mexico), NTIC Europe GmbH (NTI Europe),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subsidiaries Zerust Singapore Pte Ltd (Zerust Singapore) and Zerust Vietnam Co. Ltd (Zerust Vietnam). NTIC’s consolidated financial statements do not include the accounts of any of its joint ventures. Effective as of September 1, 2021, Harita-NTI Limited (Harita-NTI) will be consolidated in the Company’s consolidated financial statements since the Company purchased the remaining 50% ownership interest of Harita-NTI effective as of September 1, 2021.</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75% of Natur-Tec India, 75% of Natur Tec Lanka, 85% of Zerust Brazil, 60% of NTI Asean, 60% of</w:t>
      </w:r>
      <w:r>
        <w:rPr>
          <w:rFonts w:ascii="Arial" w:cs="Arial" w:eastAsia="Arial" w:hAnsi="Arial"/>
          <w:sz w:val="18"/>
          <w:szCs w:val="18"/>
          <w:i w:val="1"/>
          <w:iCs w:val="1"/>
          <w:color w:val="auto"/>
        </w:rPr>
        <w:t xml:space="preserve"> </w:t>
      </w:r>
      <w:r>
        <w:rPr>
          <w:rFonts w:ascii="Arial" w:cs="Arial" w:eastAsia="Arial" w:hAnsi="Arial"/>
          <w:sz w:val="18"/>
          <w:szCs w:val="18"/>
          <w:color w:val="auto"/>
        </w:rPr>
        <w:t>Zerust Singapore Pte Ltd, and 60% of Zerust Vietnam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6" w:name="page67"/>
    <w:bookmarkEnd w:id="66"/>
    <w:p>
      <w:pPr>
        <w:jc w:val="both"/>
        <w:ind w:right="20"/>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 The Company includes net sales to its joint ventures and net sales to unaffiliated customers as separate line items on its consolidated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operations. There are no sales originating from the Company’s joint ventures included in the amount, as the Company’s investments in its joint ventures are accounted for using the equity method.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measured based on consideration specified in the contract with a customer, adjusted for any applicable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7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revenue recognition, billing, and cash collections results in accounts receivable on the consolidated balance sheet.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 A performance obligation is a promise in a contract to transfer a distinct good or service to the customer. A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 service consultants work directly with the end users of NTIC’s ZERUST® rust and corrosion inhibiting products to analyze their specific needs and develop systems to meet their performance requirements.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67" w:name="page68"/>
    <w:bookmarkEnd w:id="67"/>
    <w:p>
      <w:pPr>
        <w:ind w:right="240"/>
        <w:spacing w:after="0" w:line="255" w:lineRule="auto"/>
        <w:rPr>
          <w:sz w:val="20"/>
          <w:szCs w:val="20"/>
          <w:color w:val="auto"/>
        </w:rPr>
      </w:pPr>
      <w:r>
        <w:rPr>
          <w:rFonts w:ascii="Arial" w:cs="Arial" w:eastAsia="Arial" w:hAnsi="Arial"/>
          <w:sz w:val="18"/>
          <w:szCs w:val="18"/>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7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8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i w:val="1"/>
          <w:iCs w:val="1"/>
          <w:color w:val="auto"/>
        </w:rPr>
        <w:t xml:space="preserve">Sales Commissions </w:t>
      </w:r>
      <w:r>
        <w:rPr>
          <w:rFonts w:ascii="Arial" w:cs="Arial" w:eastAsia="Arial" w:hAnsi="Arial"/>
          <w:sz w:val="16"/>
          <w:szCs w:val="16"/>
          <w:color w:val="auto"/>
        </w:rPr>
        <w:t>– Sales commissions paid to sales representatives are eligible for capitalization, as they are incremental costs that would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Product Warranty </w:t>
      </w:r>
      <w:r>
        <w:rPr>
          <w:rFonts w:ascii="Arial" w:cs="Arial" w:eastAsia="Arial" w:hAnsi="Arial"/>
          <w:sz w:val="17"/>
          <w:szCs w:val="17"/>
          <w:color w:val="auto"/>
        </w:rPr>
        <w:t>– The Company offers warranties on various products and services. These warranties are assurance type warranties that are not sold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International Revenue </w:t>
      </w:r>
      <w:r>
        <w:rPr>
          <w:rFonts w:ascii="Arial" w:cs="Arial" w:eastAsia="Arial" w:hAnsi="Arial"/>
          <w:sz w:val="17"/>
          <w:szCs w:val="17"/>
          <w:color w:val="auto"/>
        </w:rPr>
        <w:t>– The Company markets its products to numerous countries in North America, Europe, Latin America, Asia, and other parts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See Note 11, Segment and Geographical Information, for information regarding revenue disaggregation by geography.</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Trade Receivables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$382,000 as of August 31, 2021 and $90,000 as of August 31, 2020.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68" w:name="page69"/>
    <w:bookmarkEnd w:id="68"/>
    <w:p>
      <w:pPr>
        <w:ind w:right="100"/>
        <w:spacing w:after="0" w:line="293" w:lineRule="auto"/>
        <w:rPr>
          <w:sz w:val="20"/>
          <w:szCs w:val="20"/>
          <w:color w:val="auto"/>
        </w:rPr>
      </w:pPr>
      <w:r>
        <w:rPr>
          <w:rFonts w:ascii="Arial" w:cs="Arial" w:eastAsia="Arial" w:hAnsi="Arial"/>
          <w:sz w:val="16"/>
          <w:szCs w:val="16"/>
          <w:i w:val="1"/>
          <w:iCs w:val="1"/>
          <w:color w:val="auto"/>
        </w:rPr>
        <w:t xml:space="preserve">Trade Receivables from Joint Ventures </w:t>
      </w:r>
      <w:r>
        <w:rPr>
          <w:rFonts w:ascii="Arial" w:cs="Arial" w:eastAsia="Arial" w:hAnsi="Arial"/>
          <w:sz w:val="16"/>
          <w:szCs w:val="16"/>
          <w:color w:val="auto"/>
        </w:rPr>
        <w:t>– Trade receivables from joint ventures arise from sales of products the Company makes to its joint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doubtful accounts related to its joint venture receivables was not necessary as of August 31, 2021 or 2020.</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 The Company provides services to its joint ventures including consulting, legal, travel, insurance,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when purchased, which are readily convertible into known amounts of cash. The Company maintains its cash in high quality financial institutions. The balances, at times, may exceed federally insured limits.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net realizable value.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9"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(in</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Machinery and equipment (in</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years)</w:t>
            </w:r>
          </w:p>
        </w:tc>
        <w:tc>
          <w:tcPr>
            <w:tcW w:w="90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Patents and Trademarks </w:t>
      </w:r>
      <w:r>
        <w:rPr>
          <w:rFonts w:ascii="Arial" w:cs="Arial" w:eastAsia="Arial" w:hAnsi="Arial"/>
          <w:sz w:val="17"/>
          <w:szCs w:val="17"/>
          <w:color w:val="auto"/>
        </w:rPr>
        <w:t>– Patents and trademarks, including acquisition costs, are stated at cost, less accumulated amortization. Amortization is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Investments in Joint Ventures </w:t>
      </w:r>
      <w:r>
        <w:rPr>
          <w:rFonts w:ascii="Arial" w:cs="Arial" w:eastAsia="Arial" w:hAnsi="Arial"/>
          <w:sz w:val="16"/>
          <w:szCs w:val="16"/>
          <w:color w:val="auto"/>
        </w:rPr>
        <w:t>– Investments in the Company’s joint ventures are accounted for using the equity method.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2021 and 2020. The Company considers any of its joint ventures to be significant and discloses entity specific financial information if the joint venture’s income or assets make up more than 20% of the Company’s total assets or income.</w:t>
      </w: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classifies distributions received from its joint ventures based on the nature of the distributions, generally, in operating activities on the consolidated statements of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9" w:name="page70"/>
    <w:bookmarkEnd w:id="69"/>
    <w:p>
      <w:pPr>
        <w:ind w:right="140"/>
        <w:spacing w:after="0" w:line="263" w:lineRule="auto"/>
        <w:rPr>
          <w:sz w:val="20"/>
          <w:szCs w:val="20"/>
          <w:color w:val="auto"/>
        </w:rPr>
      </w:pPr>
      <w:r>
        <w:rPr>
          <w:rFonts w:ascii="Arial" w:cs="Arial" w:eastAsia="Arial" w:hAnsi="Arial"/>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asset and liability method of accounting for income taxes, which requires the recognition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(Loss)) </w:t>
      </w:r>
      <w:r>
        <w:rPr>
          <w:rFonts w:ascii="Arial" w:cs="Arial" w:eastAsia="Arial" w:hAnsi="Arial"/>
          <w:sz w:val="18"/>
          <w:szCs w:val="18"/>
          <w:color w:val="auto"/>
        </w:rPr>
        <w:t>– The functional currency of NTIC China, Zerust Brazil, Natur-Tec</w:t>
      </w:r>
      <w:r>
        <w:rPr>
          <w:rFonts w:ascii="Arial" w:cs="Arial" w:eastAsia="Arial" w:hAnsi="Arial"/>
          <w:sz w:val="18"/>
          <w:szCs w:val="18"/>
          <w:i w:val="1"/>
          <w:iCs w:val="1"/>
          <w:color w:val="auto"/>
        </w:rPr>
        <w:t xml:space="preserve"> </w:t>
      </w:r>
      <w:r>
        <w:rPr>
          <w:rFonts w:ascii="Arial" w:cs="Arial" w:eastAsia="Arial" w:hAnsi="Arial"/>
          <w:sz w:val="18"/>
          <w:szCs w:val="18"/>
          <w:color w:val="auto"/>
        </w:rPr>
        <w:t>India, Natur Tec Lanka, Zerust Mexico, Zerust Singapore, Zerust Vietnam,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88"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The Company (excluding NTIC China, Zerust Brazil, Natur-Tec India, Natur Tec Lanka, Zerust Singapore, Zerust Vietnam,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0" w:name="page71"/>
    <w:bookmarkEnd w:id="70"/>
    <w:p>
      <w:pPr>
        <w:ind w:right="16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value of cash and cash equivalents, available for sale securities, short-term accounts and notes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notes payable, trade accounts payables, and other accrued expenses approximate fair value because of the short maturity of those instruments.</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records costs related to shipping and handling in cost of goods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Company issues authorized but unissued shares of common stock upon the exercise of stock options.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The Company has evaluated events occurring after the date of the consolidated financial statements for events requiring disclosure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consolidated financial statements in conformity with accounting principles generally accepted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revises guidance for the accounting for credit losses on financial instruments within its scope, and in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71" w:name="page72"/>
    <w:bookmarkEnd w:id="71"/>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August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31, 2020</w:t>
            </w:r>
          </w:p>
        </w:tc>
      </w:tr>
      <w:tr>
        <w:trPr>
          <w:trHeight w:val="210"/>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4,453,688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3,866,791</w:t>
            </w: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Finished goods</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6,660,519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7,095,005</w:t>
            </w:r>
          </w:p>
        </w:tc>
      </w:tr>
      <w:tr>
        <w:trPr>
          <w:trHeight w:val="229"/>
        </w:trPr>
        <w:tc>
          <w:tcPr>
            <w:tcW w:w="580" w:type="dxa"/>
            <w:vAlign w:val="bottom"/>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11,114,207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10,961,796</w:t>
            </w:r>
          </w:p>
        </w:tc>
      </w:tr>
      <w:tr>
        <w:trPr>
          <w:trHeight w:val="20"/>
        </w:trPr>
        <w:tc>
          <w:tcPr>
            <w:tcW w:w="58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00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August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31, 2020</w:t>
            </w: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13,149,258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8,167,783</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5,453,679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4,940,912</w:t>
            </w: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18,913,302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13,419,060</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(7,091,844)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(6,308,271)</w:t>
            </w: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11,821,458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7,110,789</w:t>
            </w: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PATENTS AND TRADEMARKS, NET</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August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3,018,507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2,907,852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(2,105,846)</w:t>
            </w: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709,572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802,006</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$203,088 and $231,624 for the years ended August 31, 2021 and 2020, respectively. Amortization expense is estimated to be $190,000 in each of the next four fiscal years.</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considers the Company’s joint venture in Germany, Excor Korrosionsschutz – Technologien und Produkte GmbH (EXCOR) to be individually significant to the Company’s consolidated assets and income as of August 31, 2021. The Company considers the Company’s joint venture EXCOR and the following other joint ventures in France, Finland, India and Thailand, respectively, to be individually significant to the Company’s consolidated assets and income as of August 31, 2020: ACOBAL SAS, ZERUST OY, HARITA-NTI LIMITED and ZERUST SPECIALTY TECH CO. LTD. Harita-NTI Limited became a wholly owned subsidiary of the Company effective as of September 1, 2021. Financial information from the audited and unaudited financial statements of EXCOR and the Company’s joint ventures in France, Finland, India and Thailand, as well as all the Company’s other joint ventures, are summarized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As of August 31, 2021</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EXCOR</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OTHER</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69,394,796</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33,886,655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35,508,141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73,814,402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36,211,520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37,602,882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16,366,398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5,386,377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10,980,021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1,455,524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1,455,524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55,992,480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30,825,144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25,167,336</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share of joint ventures’ equity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27,623,768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15,412,574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12,211,194</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 of joint ventures’ undistributed earnings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24,702,778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14,697,490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10,005,288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Fiscal Year Ended August 31, 2021</w:t>
            </w:r>
          </w:p>
        </w:tc>
        <w:tc>
          <w:tcPr>
            <w:tcW w:w="1180" w:type="dxa"/>
            <w:vAlign w:val="bottom"/>
            <w:tcBorders>
              <w:bottom w:val="single" w:sz="8" w:color="auto"/>
            </w:tcBorders>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EXCOR</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OTHER</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120,954,550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46,522,688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74,431,862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53,371,610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25,389,981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27,981,629</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14,921,531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8,798,995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6,122,536</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share of equity in income of joint ventures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7,465,214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4,400,403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3,064,811</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from joint ventures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3,665,365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1,855,465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As of August 31, 2020</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FRANCE</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THAILAND</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$55,825,418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$25,742,619</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$ 4,099,160</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$ 1,955,879</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$ 4,010,855</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4,022,399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$15,994,506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60,295,587</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28,449,772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4,873,484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2,261,147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4,242,660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4,055,451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16,413,073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11,002,867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2,424,565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2,073,710</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415,496</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1,007,529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993,332</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4,088,235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365,274</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332,275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48,927,446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26,025,207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2,799,774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1,845,651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3,202,132</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3,062,119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11,992,563</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w w:val="98"/>
              </w:rPr>
              <w:t>Corporation’s share of joint ventures’ equity</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24,090,826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13,012,606</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1,399,887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922,814</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1,603,013</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1,531,060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5,621,446</w:t>
            </w: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Corporation’s share of joint ventures’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21,855,747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12,981,701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1,399,887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902,814</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738,191</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1,429,060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4,404,094</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7"/>
              </w:rPr>
              <w:t>Fiscal Year Ended August 31, 2020</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EXCOR</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FRANCE</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THAILAND</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$87,030,062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$32,546,402</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$ 8,133,294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$ 3,088,865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$ 5,481,303</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6,471,831</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$31,308,367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39,532,750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18,739,471</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color w:val="auto"/>
              </w:rPr>
              <w:t>3,061,433</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1,916,001</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2,498,196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2,046,478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11,271,171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8,545,473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5,266,541</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473,137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419,728</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697,349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503,884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1,184,834</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Corporation’s share of equity in income of</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4,270,327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2,622,423</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color w:val="auto"/>
              </w:rPr>
              <w:t>237,490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209,972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349,218</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253,192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598,032</w:t>
            </w: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Corporation’s dividends received from joint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5,672,099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4,675,850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325,635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261,220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160,074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249,320</w:t>
            </w:r>
          </w:p>
        </w:tc>
      </w:tr>
      <w:tr>
        <w:trPr>
          <w:trHeight w:val="432"/>
        </w:trPr>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3"/>
          </w:tcPr>
          <w:p>
            <w:pPr>
              <w:jc w:val="right"/>
              <w:ind w:right="890"/>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Company did not make any joint venture investments during fiscal 2021 or fiscal 2020.</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has a revolving line of credit with PNC Bank of $5,000,000 at August 31, 2021. As described in more detail on Note 18 entitled “Subsequent Events,” this line of credit was increased from $3,000,000 to $5,000,000 effective as of August 31, 2021. No amounts were outstanding under the line of credit as of August 31, 2021 or 2020. Outstanding advances under the line of credit bear interest at a rate equal to the daily LIBOR plus 2.50%. The line of credit matures on February 22, 2022. The line of credit is governed under an amended and restated loan agreement. The loan agreement contains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2021, the Company was in compliance with all debt covenants. As of August 31, 2021, NTIC did not have any letters of credit outstanding with respect to the letter of credit sub-facility available under the revolving line of credit with PNC Bank.</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August 31, 2021, the Company had $104,363 of letters of credit with JP Morgan Chase Bank that are performance based and set to expire between 2021 and 2022.</w:t>
      </w: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2021, NTIC’s Board of Directors declared cash dividends on the following dates in the following amounts to holders of record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the following record 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Declaration Date</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Record Date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Payable Date</w:t>
            </w:r>
          </w:p>
        </w:tc>
      </w:tr>
      <w:tr>
        <w:trPr>
          <w:trHeight w:val="209"/>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3, 2021</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6"/>
        </w:trPr>
        <w:tc>
          <w:tcPr>
            <w:tcW w:w="4060" w:type="dxa"/>
            <w:vAlign w:val="bottom"/>
          </w:tcPr>
          <w:p>
            <w:pPr>
              <w:jc w:val="center"/>
              <w:spacing w:after="0"/>
              <w:rPr>
                <w:sz w:val="20"/>
                <w:szCs w:val="20"/>
                <w:color w:val="auto"/>
              </w:rPr>
            </w:pPr>
            <w:r>
              <w:rPr>
                <w:rFonts w:ascii="Arial" w:cs="Arial" w:eastAsia="Arial" w:hAnsi="Arial"/>
                <w:sz w:val="18"/>
                <w:szCs w:val="18"/>
                <w:color w:val="auto"/>
                <w:w w:val="95"/>
              </w:rPr>
              <w:t>April 23, 2021</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May 5, 2021</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19, 2021</w:t>
            </w:r>
          </w:p>
        </w:tc>
      </w:tr>
      <w:tr>
        <w:trPr>
          <w:trHeight w:val="216"/>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21, 2021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4, 2021</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18, 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2020, NTIC’s Board of Directors declared cash dividends on the following dates in the following amounts to holders of record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the following record 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Declaration Date</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Record Date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Payable Date</w:t>
            </w:r>
          </w:p>
        </w:tc>
      </w:tr>
      <w:tr>
        <w:trPr>
          <w:trHeight w:val="21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22, 2019</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9"/>
              </w:rPr>
              <w:t>January 22, 2020</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February 5, 2020</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April 23, 2020, the Company announced the temporary suspension of its quarterly cash dividend pending clarity on the financial impact of COVID-19 on the Company. Therefore, NTIC’s Board of Directors did not declare a cash dividend during the quarter ended May 31, 2020, the quarter ended August 31, 2020, or the quarter ended November 30, 2020. On January 15, 2021, the Company announced the reinstatement of its quarterly cash dividend.</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2021, up to $2,640,548 of value in shares of common stock remained available for repurchase under the stock repurchase program.</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fiscal 2021, the Company did not repurchase or retire any shares of its common stock. During fiscal 2021, stock options to purchase an aggregate of 77,645 shares of common stock were exercised at a weighted average exercise price of $8.18 per share; some of the options were exercised on a cashless basis, resulting in the net issuance of 74,950 shares of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ind w:right="20"/>
        <w:spacing w:after="0" w:line="263" w:lineRule="auto"/>
        <w:rPr>
          <w:sz w:val="20"/>
          <w:szCs w:val="20"/>
          <w:color w:val="auto"/>
        </w:rPr>
      </w:pPr>
      <w:r>
        <w:rPr>
          <w:rFonts w:ascii="Arial" w:cs="Arial" w:eastAsia="Arial" w:hAnsi="Arial"/>
          <w:sz w:val="18"/>
          <w:szCs w:val="18"/>
          <w:color w:val="auto"/>
        </w:rPr>
        <w:t>During fiscal 2020, the Company did not repurchase or retire any shares of its common stock. During fiscal 2020, stock options to purchase an aggregate of 11,975 shares of common stock were exercised at a weighted average exercise price of $5.13 per share; some of the options were exercised on a cashless basis, resulting in the net issuance of 6,823 shares of common stock.</w:t>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net income (loss) per common share is computed by dividing net income (loss) by the weighted average number of common shares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net income (loss) per share assumes the exercise of stock options using the treasury stock method, if 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(loss) per share computation for fiscal 2021 and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August 31, 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August 31, 2020</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6,281,238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(1,337,709)</w:t>
            </w:r>
          </w:p>
        </w:tc>
      </w:tr>
      <w:tr>
        <w:trPr>
          <w:trHeight w:val="216"/>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Basic-weighted shares outstanding</w:t>
            </w:r>
          </w:p>
        </w:tc>
        <w:tc>
          <w:tcPr>
            <w:tcW w:w="12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9,116,472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9,096,981</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757,667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9,874,139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9,096,981</w:t>
            </w: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2021 were options outstanding to purchase 136,221 shares of common stock. Excluded from the computation of diluted net income per share as of August 31, 2020 were options outstanding to purchase 1,127,968 shares of common stock due to the net loss for the period.</w:t>
      </w:r>
    </w:p>
    <w:p>
      <w:pPr>
        <w:spacing w:after="0" w:line="200" w:lineRule="exact"/>
        <w:rPr>
          <w:sz w:val="20"/>
          <w:szCs w:val="20"/>
          <w:color w:val="auto"/>
        </w:rPr>
      </w:pPr>
    </w:p>
    <w:p>
      <w:pPr>
        <w:spacing w:after="0" w:line="203"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has three stock-based compensation plans under which stock options or other stock-based awards have been granted: the Northern Technologies International Corporation Amended and Restated 2019 Stock Incentive Plan (the 2019 Plan), the Northern Technologies International Corporation Amended and Restated 2007 Stock Incentive Plan (the 2007 Plan) and the Northern Technologies International Corporation Employee Stock Purchase Plan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During the fiscal years ended August 31, 2021 and 2020, the Company granted stock options under the 2019 Plan to purchase an aggregate of 419,874 and 300,770 shares of its common stock to various employees and directors, respectively. As of August 31, 2021, 879,356 shares of common stock remained available under the 2019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5" w:name="page76"/>
    <w:bookmarkEnd w:id="75"/>
    <w:p>
      <w:pPr>
        <w:ind w:right="160"/>
        <w:spacing w:after="0" w:line="254"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5,225 and 2,754 shares on March 1, 2021 and 2020, respectively, and 4,646 and 3,597 shares on September 1, 2020 and 2019, respectively, under the ESPP. As of August 31, 2021, 74,822 shares of common stock remained available for sale under the ESPP.</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 grants is determined at the date of grant using the Black-Scholes option pricing model with the assumptions listed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volatility factor used in the Black-Scholes option pricing model is based on historical stock price fluctuations, and the risk-free interest rate is based on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 rates appropriate for the expected term. Dividend yield and expected volatility are estimated using historical amounts that are anticipated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current values. Expected life of the option is based on the life of the option agreements. Based on these valuations,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$664,174 and $1,337,774 during fiscal 2021 and fiscal 2020, respectively, related to the options that vested during such time.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August 31, 2021, the total compensation cost for non-vested options not yet recognized on the Company’s consolidated statements of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$666,667, which is expected to be recognized during fiscal 2022 and fiscal 2023, based on outstanding options as of August 31, 2021. Future option grants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impact the compensation expense recognized. Stock-based compensation expense is included in general and administrative expense 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7"/>
              </w:rPr>
              <w:t>Fiscal Year 2021</w:t>
            </w:r>
          </w:p>
        </w:tc>
        <w:tc>
          <w:tcPr>
            <w:tcW w:w="8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7"/>
              </w:rPr>
              <w:t>Fiscal Year 2020</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1.65%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45.4%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45.2%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 (in years)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Weighted average risk-free interest rate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0.77%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1.40%</w:t>
            </w:r>
          </w:p>
        </w:tc>
        <w:tc>
          <w:tcPr>
            <w:tcW w:w="1140" w:type="dxa"/>
            <w:vAlign w:val="bottom"/>
          </w:tcPr>
          <w:p>
            <w:pPr>
              <w:spacing w:after="0"/>
              <w:rPr>
                <w:sz w:val="20"/>
                <w:szCs w:val="20"/>
                <w:color w:val="auto"/>
              </w:rPr>
            </w:pPr>
          </w:p>
        </w:tc>
      </w:tr>
      <w:tr>
        <w:trPr>
          <w:trHeight w:val="418"/>
        </w:trPr>
        <w:tc>
          <w:tcPr>
            <w:tcW w:w="632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was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Number of Shares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4"/>
                <w:szCs w:val="24"/>
                <w:color w:val="auto"/>
              </w:rPr>
            </w:pPr>
          </w:p>
        </w:tc>
        <w:tc>
          <w:tcPr>
            <w:tcW w:w="15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11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Intrinsic Value</w:t>
            </w: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August 31, 2019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839,173</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300,770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Options terminated</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Outstanding at August 31, 2020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1,127,968</w:t>
            </w: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419,874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(77,645)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terminated</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(43,546)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August 31, 2021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1,426,651</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10,514,418</w:t>
            </w:r>
          </w:p>
        </w:tc>
      </w:tr>
      <w:tr>
        <w:trPr>
          <w:trHeight w:val="196"/>
        </w:trPr>
        <w:tc>
          <w:tcPr>
            <w:tcW w:w="6320" w:type="dxa"/>
            <w:vAlign w:val="bottom"/>
            <w:tcBorders>
              <w:top w:val="single" w:sz="8" w:color="CCEEFF"/>
            </w:tcBorders>
            <w:gridSpan w:val="2"/>
          </w:tcPr>
          <w:p>
            <w:pPr>
              <w:spacing w:after="0"/>
              <w:rPr>
                <w:sz w:val="17"/>
                <w:szCs w:val="17"/>
                <w:color w:val="auto"/>
              </w:rPr>
            </w:pPr>
          </w:p>
        </w:tc>
        <w:tc>
          <w:tcPr>
            <w:tcW w:w="154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16"/>
        </w:trPr>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August 31, 2021</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1,022,802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7,108,474</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2021 and fiscal 2020 was $8.24 and $10.87, respectively. The weighted average remaining contractual life of the options outstanding and exercisable as of August 31, 2021 was 6.20 years and 5.09 years,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6" w:name="page77"/>
    <w:bookmarkEnd w:id="76"/>
    <w:p>
      <w:pPr>
        <w:ind w:left="620" w:hanging="612"/>
        <w:spacing w:after="0"/>
        <w:tabs>
          <w:tab w:leader="none" w:pos="6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45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The following tables present the Company’s business segment information:</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Fiscal 2021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Fiscal 2020</w:t>
            </w:r>
          </w:p>
        </w:tc>
      </w:tr>
      <w:tr>
        <w:trPr>
          <w:trHeight w:val="209"/>
        </w:trPr>
        <w:tc>
          <w:tcPr>
            <w:tcW w:w="2240" w:type="dxa"/>
            <w:vAlign w:val="bottom"/>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45,554,434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34,474,535</w:t>
            </w:r>
          </w:p>
        </w:tc>
      </w:tr>
      <w:tr>
        <w:trPr>
          <w:trHeight w:val="216"/>
        </w:trPr>
        <w:tc>
          <w:tcPr>
            <w:tcW w:w="22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Natur-Tec® net sales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10,939,385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13,164,156</w:t>
            </w:r>
          </w:p>
        </w:tc>
      </w:tr>
      <w:tr>
        <w:trPr>
          <w:trHeight w:val="209"/>
        </w:trPr>
        <w:tc>
          <w:tcPr>
            <w:tcW w:w="224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56,493,819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47,638,691</w:t>
            </w:r>
          </w:p>
        </w:tc>
      </w:tr>
      <w:tr>
        <w:trPr>
          <w:trHeight w:val="20"/>
        </w:trPr>
        <w:tc>
          <w:tcPr>
            <w:tcW w:w="224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426"/>
        </w:trPr>
        <w:tc>
          <w:tcPr>
            <w:tcW w:w="6500" w:type="dxa"/>
            <w:vAlign w:val="bottom"/>
            <w:gridSpan w:val="2"/>
          </w:tcPr>
          <w:p>
            <w:pPr>
              <w:spacing w:after="0"/>
              <w:rPr>
                <w:sz w:val="20"/>
                <w:szCs w:val="20"/>
                <w:color w:val="auto"/>
              </w:rPr>
            </w:pPr>
            <w:r>
              <w:rPr>
                <w:rFonts w:ascii="Arial" w:cs="Arial" w:eastAsia="Arial" w:hAnsi="Arial"/>
                <w:sz w:val="18"/>
                <w:szCs w:val="18"/>
                <w:color w:val="auto"/>
              </w:rPr>
              <w:t>The following table sets forth the Company’s cost of goods sold by segment: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22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Fiscal 2021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Fiscal 2020</w:t>
            </w:r>
          </w:p>
        </w:tc>
      </w:tr>
      <w:tr>
        <w:trPr>
          <w:trHeight w:val="209"/>
        </w:trPr>
        <w:tc>
          <w:tcPr>
            <w:tcW w:w="2240" w:type="dxa"/>
            <w:vAlign w:val="bottom"/>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 of goods sold</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ZERUST®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26,028,555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18,717,684</w:t>
            </w:r>
          </w:p>
        </w:tc>
      </w:tr>
      <w:tr>
        <w:trPr>
          <w:trHeight w:val="216"/>
        </w:trPr>
        <w:tc>
          <w:tcPr>
            <w:tcW w:w="224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7,717,429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10,168,051</w:t>
            </w:r>
          </w:p>
        </w:tc>
      </w:tr>
      <w:tr>
        <w:trPr>
          <w:trHeight w:val="216"/>
        </w:trPr>
        <w:tc>
          <w:tcPr>
            <w:tcW w:w="22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Indirect cost of goods sold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3,174,830</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2,723,539</w:t>
            </w:r>
          </w:p>
        </w:tc>
      </w:tr>
      <w:tr>
        <w:trPr>
          <w:trHeight w:val="209"/>
        </w:trPr>
        <w:tc>
          <w:tcPr>
            <w:tcW w:w="224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36,920,814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31,609,274</w:t>
            </w:r>
          </w:p>
        </w:tc>
      </w:tr>
      <w:tr>
        <w:trPr>
          <w:trHeight w:val="20"/>
        </w:trPr>
        <w:tc>
          <w:tcPr>
            <w:tcW w:w="224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All joint venture operations, including equity in income, fees for services, and related dividends, are related to ZERUST® products and services.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i w:val="1"/>
                <w:iCs w:val="1"/>
                <w:color w:val="auto"/>
              </w:rPr>
              <w:t>Geographic Information</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Net sales by geographic location for fiscal 2021 and fiscal 2020 were as follows: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Fiscal Year Ended August 31,</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Inside the U.S.A. to unaffiliated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22,039,456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20,218,213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Outside the U.S.A. to:</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2"/>
        </w:trPr>
        <w:tc>
          <w:tcPr>
            <w:tcW w:w="1120" w:type="dxa"/>
            <w:vAlign w:val="bottom"/>
          </w:tcPr>
          <w:p>
            <w:pPr>
              <w:spacing w:after="0"/>
              <w:rPr>
                <w:sz w:val="17"/>
                <w:szCs w:val="17"/>
                <w:color w:val="auto"/>
              </w:rPr>
            </w:pPr>
          </w:p>
        </w:tc>
        <w:tc>
          <w:tcPr>
            <w:tcW w:w="5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Joint ventures in which the Company is a shareholder directly and</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indirectly</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3,023,196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1,972,646</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31,431,167</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25,447,832</w:t>
            </w: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56,493,819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47,638,691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respectively, were as follows: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of 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of Total</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Fees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Fees for</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Services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Services</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Provided 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Joint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Joint</w:t>
            </w:r>
          </w:p>
        </w:tc>
      </w:tr>
      <w:tr>
        <w:trPr>
          <w:trHeight w:val="234"/>
        </w:trPr>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Fiscal 2021</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Ventures</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Fiscal 2020</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826,403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628,889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553,198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Sweden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528,755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372,017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310,661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Thailand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399,563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328,452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Czech Republic</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377,395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316,786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255,121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Indonesia</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230,562</w:t>
            </w: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177,167</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2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5,964,260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4,612,885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details on geographical information regarding equity in income from joint ventures.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w w:val="99"/>
              </w:rPr>
              <w:t>The geographical distribution of total long-lived assets and net sales is as follows: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4"/>
        </w:trPr>
        <w:tc>
          <w:tcPr>
            <w:tcW w:w="22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At August 31,</w:t>
            </w:r>
          </w:p>
        </w:tc>
        <w:tc>
          <w:tcPr>
            <w:tcW w:w="60" w:type="dxa"/>
            <w:vAlign w:val="bottom"/>
          </w:tcPr>
          <w:p>
            <w:pPr>
              <w:spacing w:after="0"/>
              <w:rPr>
                <w:sz w:val="24"/>
                <w:szCs w:val="24"/>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At August 31,</w:t>
            </w:r>
          </w:p>
        </w:tc>
      </w:tr>
      <w:tr>
        <w:trPr>
          <w:trHeight w:val="234"/>
        </w:trPr>
        <w:tc>
          <w:tcPr>
            <w:tcW w:w="2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224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5,110,071</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376,088</w:t>
            </w:r>
          </w:p>
        </w:tc>
      </w:tr>
      <w:tr>
        <w:trPr>
          <w:trHeight w:val="216"/>
        </w:trPr>
        <w:tc>
          <w:tcPr>
            <w:tcW w:w="224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453,199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172,833</w:t>
            </w:r>
          </w:p>
        </w:tc>
      </w:tr>
      <w:tr>
        <w:trPr>
          <w:trHeight w:val="216"/>
        </w:trPr>
        <w:tc>
          <w:tcPr>
            <w:tcW w:w="224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6,258,188</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6,561,868</w:t>
            </w:r>
          </w:p>
        </w:tc>
      </w:tr>
      <w:tr>
        <w:trPr>
          <w:trHeight w:val="210"/>
        </w:trPr>
        <w:tc>
          <w:tcPr>
            <w:tcW w:w="224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Total long-lived assets</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11,821,458</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7,110,789</w:t>
            </w:r>
          </w:p>
        </w:tc>
      </w:tr>
      <w:tr>
        <w:trPr>
          <w:trHeight w:val="20"/>
        </w:trPr>
        <w:tc>
          <w:tcPr>
            <w:tcW w:w="2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Fiscal 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42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August</w:t>
            </w:r>
          </w:p>
        </w:tc>
        <w:tc>
          <w:tcPr>
            <w:tcW w:w="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August</w:t>
            </w:r>
          </w:p>
        </w:tc>
      </w:tr>
      <w:tr>
        <w:trPr>
          <w:trHeight w:val="234"/>
        </w:trPr>
        <w:tc>
          <w:tcPr>
            <w:tcW w:w="4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31, 2021</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31, 2020</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17,343,623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13,409,770</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4,122,781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2,753,930</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5,482,989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5,655,797</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7,504,970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5,600,982</w:t>
            </w:r>
          </w:p>
        </w:tc>
      </w:tr>
      <w:tr>
        <w:trPr>
          <w:trHeight w:val="21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22,039,456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20,218,212</w:t>
            </w:r>
          </w:p>
        </w:tc>
      </w:tr>
      <w:tr>
        <w:trPr>
          <w:trHeight w:val="210"/>
        </w:trPr>
        <w:tc>
          <w:tcPr>
            <w:tcW w:w="426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56,493,819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47,638,691</w:t>
            </w:r>
          </w:p>
        </w:tc>
      </w:tr>
      <w:tr>
        <w:trPr>
          <w:trHeight w:val="20"/>
        </w:trPr>
        <w:tc>
          <w:tcPr>
            <w:tcW w:w="4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87"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$237,499 and $234,534 for fiscal 2021 and fiscal 2020, respectively.</w:t>
      </w:r>
    </w:p>
    <w:p>
      <w:pPr>
        <w:spacing w:after="0" w:line="200" w:lineRule="exact"/>
        <w:rPr>
          <w:sz w:val="20"/>
          <w:szCs w:val="20"/>
          <w:color w:val="auto"/>
        </w:rPr>
      </w:pPr>
    </w:p>
    <w:p>
      <w:pPr>
        <w:spacing w:after="0" w:line="223"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both fiscal 2021 and fiscal 2020, the Company made consulting payments of $144,000 to Bioplastic Polymers LLC, an entity owned by Ramani Narayan, Ph.D., a director of the Company.</w:t>
      </w:r>
    </w:p>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2021 and 2020 was approximately as follows:</w:t>
      </w:r>
    </w:p>
    <w:p>
      <w:pPr>
        <w:spacing w:after="0" w:line="23" w:lineRule="exact"/>
        <w:rPr>
          <w:sz w:val="20"/>
          <w:szCs w:val="20"/>
          <w:color w:val="auto"/>
        </w:rPr>
      </w:pPr>
    </w:p>
    <w:p>
      <w:pPr>
        <w:jc w:val="center"/>
        <w:ind w:left="3380"/>
        <w:spacing w:after="0"/>
        <w:rPr>
          <w:sz w:val="20"/>
          <w:szCs w:val="20"/>
          <w:color w:val="auto"/>
        </w:rPr>
      </w:pPr>
      <w:r>
        <w:rPr>
          <w:rFonts w:ascii="Arial" w:cs="Arial" w:eastAsia="Arial" w:hAnsi="Arial"/>
          <w:sz w:val="18"/>
          <w:szCs w:val="18"/>
          <w:b w:val="1"/>
          <w:bCs w:val="1"/>
          <w:color w:val="auto"/>
        </w:rPr>
        <w:t>Fiscal Year Ended August</w:t>
      </w:r>
    </w:p>
    <w:p>
      <w:pPr>
        <w:spacing w:after="0" w:line="9" w:lineRule="exact"/>
        <w:rPr>
          <w:sz w:val="20"/>
          <w:szCs w:val="20"/>
          <w:color w:val="auto"/>
        </w:rPr>
      </w:pPr>
    </w:p>
    <w:p>
      <w:pPr>
        <w:jc w:val="center"/>
        <w:ind w:left="340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09"/>
        </w:trPr>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1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r>
      <w:tr>
        <w:trPr>
          <w:trHeight w:val="216"/>
        </w:trPr>
        <w:tc>
          <w:tcPr>
            <w:tcW w:w="2100" w:type="dxa"/>
            <w:vAlign w:val="bottom"/>
          </w:tcPr>
          <w:p>
            <w:pPr>
              <w:ind w:left="16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1,307,000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1,226,000</w:t>
            </w:r>
          </w:p>
        </w:tc>
      </w:tr>
      <w:tr>
        <w:trPr>
          <w:trHeight w:val="209"/>
        </w:trPr>
        <w:tc>
          <w:tcPr>
            <w:tcW w:w="2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1,346,000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1,249,000</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Deferred: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1,501,000</w:t>
            </w:r>
          </w:p>
        </w:tc>
      </w:tr>
      <w:tr>
        <w:trPr>
          <w:trHeight w:val="216"/>
        </w:trPr>
        <w:tc>
          <w:tcPr>
            <w:tcW w:w="2100" w:type="dxa"/>
            <w:vAlign w:val="bottom"/>
          </w:tcPr>
          <w:p>
            <w:pPr>
              <w:ind w:left="16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101,000</w:t>
            </w:r>
          </w:p>
        </w:tc>
      </w:tr>
      <w:tr>
        <w:trPr>
          <w:trHeight w:val="216"/>
        </w:trPr>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115,905</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(176,365)</w:t>
            </w:r>
          </w:p>
        </w:tc>
      </w:tr>
      <w:tr>
        <w:trPr>
          <w:trHeight w:val="209"/>
        </w:trPr>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115,905</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1,425,635</w:t>
            </w:r>
          </w:p>
        </w:tc>
      </w:tr>
      <w:tr>
        <w:trPr>
          <w:trHeight w:val="230"/>
        </w:trPr>
        <w:tc>
          <w:tcPr>
            <w:tcW w:w="2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1,461,905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2,674,635</w:t>
            </w:r>
          </w:p>
        </w:tc>
      </w:tr>
      <w:tr>
        <w:trPr>
          <w:trHeight w:val="20"/>
        </w:trPr>
        <w:tc>
          <w:tcPr>
            <w:tcW w:w="2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of 21.0% with the provisions for income taxes for the fiscal years ended August 31, 2021 and 2020 were approximately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5"/>
              </w:rPr>
              <w:t>Fiscal Year Ended August 31,</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1,794,000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Tax effect of foreign operations</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839,000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641,000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Deemed repatriation</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Expired foreign tax credit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897,000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Valuation allowance</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2,797,000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231,905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(137.365)</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1,461,905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2,674,635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40" w:type="dxa"/>
            <w:vAlign w:val="bottom"/>
            <w:vMerge w:val="restart"/>
          </w:tcPr>
          <w:p>
            <w:pPr>
              <w:jc w:val="right"/>
              <w:ind w:right="2190"/>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79" w:name="page80"/>
    <w:bookmarkEnd w:id="79"/>
    <w:p>
      <w:pPr>
        <w:ind w:right="60"/>
        <w:spacing w:after="0" w:line="291" w:lineRule="auto"/>
        <w:rPr>
          <w:sz w:val="20"/>
          <w:szCs w:val="20"/>
          <w:color w:val="auto"/>
        </w:rPr>
      </w:pPr>
      <w:r>
        <w:rPr>
          <w:rFonts w:ascii="Arial" w:cs="Arial" w:eastAsia="Arial" w:hAnsi="Arial"/>
          <w:sz w:val="16"/>
          <w:szCs w:val="16"/>
          <w:color w:val="auto"/>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a tax expense of approximately $113,000 and tax benefit of approximately $76,000 during fiscal 2021 and fiscal 2020, respectively,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spacing w:after="0" w:line="166"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2021 and 2020 was approximately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August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539,300</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Inventory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147,500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581,200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466,300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397,300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4,893,300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5,790,500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credit and loss carryforwards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5,243,100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4,824,200</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12,053,100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(11,447,500)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(11,561,700)</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after valuation allowance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491,400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Unremitted foreign earnings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(154,900)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(83,400)</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(281,600)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92,600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209,800</w:t>
            </w: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August 31, 2020, the Company had foreign tax credit carryforwards of $5,790,500 of which $897,000 expired during August 31, 2021. The remaining $4,893,300 of foreign tax credit carryforwards as of August 31, 2021 will begin to expire if not utilized prior to August 31, 2022. In addition, the Company had federal and state tax credit carryforwards of $3,552,500 as of August 31, 2021, which began to expire in fiscal 2022. These federal and state tax credit carryforwards consist primarily of federal and Minnesota research and development credit carryforwards. The Company also has a deferred tax asset of $1,065,500 for federal net operating loss carryforwards and $377,600 for state net operating loss carryforwards as of August 31, 2021. The federal net operating loss carryforward has an indefinite carryforward period. The state net operating loss carryforward will begin to expire if not utilized prior to August 31, 2022. The Company has a deferred tax asset of $247,500 for foreign net operating loss carryforwards, $223,300 of which has an indefinite carryforward period.</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records a tax valuation allowance to reduce deferred tax assets to the amount expected to be realized when it is more likely than not that some portion or all of its deferred tax assets will not be realized.</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$11,447,500 and $11,561,700 as of August 31, 2021 and 2020, respectively, to recognize only the portion of the deferred tax assets that is more likely than not to be realized. The net deferred tax asset as of August 31, 2021 and 2020 relates entirely to non-US deferred tax assets which are expected to be realized by offset of deferred tax liability for withholding tax on cumulative undistributed earnings in foreign subsidiaries and joint ventures that the Company determined were not essentially permanent. The change in the valuation allowance totaled a decrease of $114,000 and an increase of $2,797,000 for the years ended August 31, 2021 and 2020,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is a tabular reconciliation of the total amounts of approximated unrecognized tax benefits: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Fiscal Year Ended August 31,</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balance</w:t>
            </w:r>
          </w:p>
        </w:tc>
        <w:tc>
          <w:tcPr>
            <w:tcW w:w="9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278,200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248,000</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15,200</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color w:val="auto"/>
              </w:rPr>
              <w:t>Gross unrecognized tax benefits – ending balance</w:t>
            </w:r>
          </w:p>
        </w:tc>
        <w:tc>
          <w:tcPr>
            <w:tcW w:w="940" w:type="dxa"/>
            <w:vAlign w:val="bottom"/>
            <w:gridSpan w:val="2"/>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297,600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278,200</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2021 and August 31, 2020.</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is subject to taxation in the United States and various states and foreign jurisdictions. With few exceptions, as of August 31, 2021, the Company is no longer subject to federal, state, local, or foreign examinations by tax authorities for years prior to August 31, 2018.</w:t>
      </w:r>
    </w:p>
    <w:p>
      <w:pPr>
        <w:spacing w:after="0" w:line="385"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currently has operating leases for various buildings, equipment and vehicles. These leases are under non-cancelable operating lease agreements with expiration dates between December 31, 2021 and June 30, 2024. The Company has the option to extend certain leases to five or ten-year term(s) and has the right of first refusal on any sale.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i w:val="1"/>
                <w:iCs w:val="1"/>
                <w:color w:val="auto"/>
              </w:rPr>
              <w:t>Present Value of Leases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31, 2021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August 31, 2020</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658,788</w:t>
            </w:r>
          </w:p>
        </w:tc>
      </w:tr>
      <w:tr>
        <w:trPr>
          <w:trHeight w:val="216"/>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272,443</w:t>
            </w:r>
          </w:p>
        </w:tc>
      </w:tr>
      <w:tr>
        <w:trPr>
          <w:trHeight w:val="230"/>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658,788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August 31, 2021, the weighted-average remaining lease term was 1.50 years. The Company’s lease agreements do not provide a readily determinable implicit rate nor is it available to the Company from its lessors. Instead, as of August 31, 2021, the Company estimates the weighted-average discount rate for its operating leases to be 2.31% to present value based on the incremental borrowing rate.</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Future minimum payments for the next five fiscal years and thereafter as of August 31, 2021 under these long-term operating leases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272,336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Fiscal 2023</w:t>
            </w:r>
          </w:p>
        </w:tc>
        <w:tc>
          <w:tcPr>
            <w:tcW w:w="2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84,353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2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Fiscal 2025</w:t>
            </w:r>
          </w:p>
        </w:tc>
        <w:tc>
          <w:tcPr>
            <w:tcW w:w="28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383,389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8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w:t>
            </w:r>
          </w:p>
        </w:tc>
      </w:tr>
      <w:tr>
        <w:trPr>
          <w:trHeight w:val="209"/>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obligations under operating leases</w:t>
            </w:r>
          </w:p>
        </w:tc>
        <w:tc>
          <w:tcPr>
            <w:tcW w:w="2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376,438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current portion</w:t>
            </w:r>
          </w:p>
        </w:tc>
        <w:tc>
          <w:tcPr>
            <w:tcW w:w="28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(272,336)</w:t>
            </w:r>
          </w:p>
        </w:tc>
      </w:tr>
      <w:tr>
        <w:trPr>
          <w:trHeight w:val="249"/>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operating lease obligations</w:t>
            </w:r>
          </w:p>
        </w:tc>
        <w:tc>
          <w:tcPr>
            <w:tcW w:w="2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these leases was approximately $386,345 and $131,840 for the years ended August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August 26, 2021, the Compensation Committee of the Board of Directors of the Company approved the material terms of an annual bonus plan for the Company’s executive officers as well as certain officers and employees for the fiscal year ending August 31, 2022. For fiscal 2022,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2022 compared to a pre-established target EBITOI for fiscal 2022,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were determined by the Company’s Board of Directors, upon recommendation of the Compensation Committee, after the completion of the Company’s consolidated financial statements for fiscal 2022.</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27, 2020, the Compensation Committee of the Board of Directors of the Company approved the material terms of an annual bonus plan for the Company’s executive officers as well as certain officers and employees for the fiscal year ending August 31, 2021. $2,366,668 was recognized for bonuses for the fiscal year ended August 31, 2021, $266,667 of the bonus is comprised of stock options granted to management on September 1, 2020 that will be expensed over three years and $2,100,000 will be paid out in cash and profit sharing subsequent to year end. This is compared to $1,300,000 recognized for bonuses for the fiscal year ended August 31, 2020, $800,000 of the bonus comprised of stock options granted to management on September 1, 2019 and $500,000 was paid out in cash and profit sharing subsequent to year 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Two joint ventures (consisting of the Company’s joint ventures in the Thailand and Indonesia) accounted for 37.4% of the Company’s trade joint venture receivables as of August 31, 2021, and five joint ventures (consisting of the Company’s joint ventures in the United States, Indonesia, Philippines, Russia and India) accounted for 88.2% of the Company’s trade joint venture receivables as of August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2021,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5200" w:type="dxa"/>
            <w:vAlign w:val="bottom"/>
            <w:gridSpan w:val="2"/>
          </w:tcPr>
          <w:p>
            <w:pPr>
              <w:ind w:left="200"/>
              <w:spacing w:after="0"/>
              <w:rPr>
                <w:sz w:val="20"/>
                <w:szCs w:val="20"/>
                <w:color w:val="auto"/>
              </w:rPr>
            </w:pPr>
            <w:r>
              <w:rPr>
                <w:rFonts w:ascii="Arial" w:cs="Arial" w:eastAsia="Arial" w:hAnsi="Arial"/>
                <w:sz w:val="18"/>
                <w:szCs w:val="18"/>
                <w:b w:val="1"/>
                <w:bCs w:val="1"/>
                <w:color w:val="auto"/>
              </w:rPr>
              <w:t>STATEMENTS OF CASH FLOWS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August 31,</w:t>
            </w:r>
          </w:p>
        </w:tc>
        <w:tc>
          <w:tcPr>
            <w:tcW w:w="1000" w:type="dxa"/>
            <w:vAlign w:val="bottom"/>
            <w:tcBorders>
              <w:bottom w:val="single" w:sz="8" w:color="auto"/>
            </w:tcBorders>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895,646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1,099,635</w:t>
            </w:r>
          </w:p>
        </w:tc>
      </w:tr>
      <w:tr>
        <w:trPr>
          <w:trHeight w:val="230"/>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16,034</w:t>
            </w:r>
          </w:p>
        </w:tc>
      </w:tr>
    </w:tbl>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defined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are quoted prices in active markets for identical assets or liabilities.</w:t>
      </w:r>
    </w:p>
    <w:p>
      <w:pPr>
        <w:spacing w:after="0" w:line="23" w:lineRule="exact"/>
        <w:rPr>
          <w:sz w:val="20"/>
          <w:szCs w:val="20"/>
          <w:color w:val="auto"/>
        </w:rPr>
      </w:pPr>
    </w:p>
    <w:p>
      <w:pPr>
        <w:ind w:left="1140" w:right="280" w:hanging="809"/>
        <w:spacing w:after="0" w:line="281" w:lineRule="auto"/>
        <w:rPr>
          <w:sz w:val="20"/>
          <w:szCs w:val="20"/>
          <w:color w:val="auto"/>
        </w:rPr>
      </w:pPr>
      <w:r>
        <w:rPr>
          <w:rFonts w:ascii="Arial" w:cs="Arial" w:eastAsia="Arial" w:hAnsi="Arial"/>
          <w:sz w:val="16"/>
          <w:szCs w:val="16"/>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are unobservable for the asset or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Fair Value Measurements Using Inputs</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138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Considered as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5,544,722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5,544,722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available for sale securities. These are valued using quoted market prices in an active market.</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2021 or August 31, 2020. When a determination is made to classify an asset or liability within Level 3, the determination is based upon the significance of the unobservable inputs to the overall fair value measurement.</w:t>
      </w:r>
    </w:p>
    <w:p>
      <w:pPr>
        <w:spacing w:after="0" w:line="400"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20, 2021, NTIC’s Board of Directors declared a cash dividend of $0.07 per share of NTIC’s common stock, payable on November 17, 2021 to stockholders of record on November 3, 2021. Although NTIC’s Board of Directors intends to declare regular quarterly cash dividends going forward, the payment of any future dividends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September 21, 2021, the Company announced that it acquired the remaining 50% ownership interest in its Indian joint venture, Harita-NTI Limited, for USD $6.25 million in cash, effective as of September 1, 2021. This purchase was funded with cash available from existing operations.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on September 21, 2021, the Company and PNC Bank entered into an Amended and Restated Loan Agreement and Amended and Restated Security Agreement relating to the Company’s revolving line of credit with PNC Bank and the Company issued an amended and restated promissory note thereunder, in each case effective as of August 31, 2021, which together increased the line of credit from $3.0 million to $5.0 million, extended the maturity date to February 22, 2022 and revised the rate at which amounts outstanding under the line of credit bear interest to equal a per annum rate equal to the daily LIBOR plus 250 basis points (2.50%). The other material terms of the line of credit, Amended and Restated Loan Agreement and Amended and Restated Security Agreement with PNC Bank and other related documents were not affected by these amendments.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4" w:name="page85"/>
    <w:bookmarkEnd w:id="84"/>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right="320" w:firstLine="8"/>
        <w:spacing w:after="0" w:line="260"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Management, with the participation of NTIC’s President and Chief Executive Officer and Chief Financial Officer, evaluated the effectiveness of the Company’s internal control over financial reporting as of August 31, 2021.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85" w:name="page86"/>
    <w:bookmarkEnd w:id="85"/>
    <w:p>
      <w:pPr>
        <w:ind w:right="180"/>
        <w:spacing w:after="0" w:line="263"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2021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fourth quarter of fiscal 2021,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ind w:left="920" w:right="26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following table summarizes outstanding options and other awards under NTIC’s equity compensation plans as of August 31, 2021. NTIC’s equity compensation plans as of August 31, 2021 were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and an automatic annual grant of $10,000 in options to purchase shares of NTIC common stock to NTIC’s Chairman of the Board in consideration for his services as Chairman,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Amended and Restated 2019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2007 Stock Incentive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600" w:type="dxa"/>
            <w:vAlign w:val="bottom"/>
          </w:tcPr>
          <w:p>
            <w:pPr>
              <w:jc w:val="center"/>
              <w:ind w:right="133"/>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0" w:type="dxa"/>
            <w:vAlign w:val="bottom"/>
          </w:tcPr>
          <w:p>
            <w:pPr>
              <w:jc w:val="center"/>
              <w:ind w:right="133"/>
              <w:spacing w:after="0"/>
              <w:rPr>
                <w:sz w:val="20"/>
                <w:szCs w:val="20"/>
                <w:color w:val="auto"/>
              </w:rPr>
            </w:pPr>
            <w:r>
              <w:rPr>
                <w:rFonts w:ascii="Arial" w:cs="Arial" w:eastAsia="Arial" w:hAnsi="Arial"/>
                <w:sz w:val="18"/>
                <w:szCs w:val="18"/>
                <w:b w:val="1"/>
                <w:bCs w:val="1"/>
                <w:color w:val="auto"/>
                <w:w w:val="89"/>
              </w:rPr>
              <w:t>Number of Securities to be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Future Issuance Under Equity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0" w:type="dxa"/>
            <w:vAlign w:val="bottom"/>
          </w:tcPr>
          <w:p>
            <w:pPr>
              <w:jc w:val="center"/>
              <w:ind w:right="113"/>
              <w:spacing w:after="0"/>
              <w:rPr>
                <w:sz w:val="20"/>
                <w:szCs w:val="20"/>
                <w:color w:val="auto"/>
              </w:rPr>
            </w:pPr>
            <w:r>
              <w:rPr>
                <w:rFonts w:ascii="Arial" w:cs="Arial" w:eastAsia="Arial" w:hAnsi="Arial"/>
                <w:sz w:val="18"/>
                <w:szCs w:val="18"/>
                <w:b w:val="1"/>
                <w:bCs w:val="1"/>
                <w:color w:val="auto"/>
                <w:w w:val="87"/>
              </w:rPr>
              <w:t>Issued Upon Exercise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Weighted-Average Exercise</w:t>
            </w: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600" w:type="dxa"/>
            <w:vAlign w:val="bottom"/>
          </w:tcPr>
          <w:p>
            <w:pPr>
              <w:jc w:val="center"/>
              <w:ind w:right="133"/>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8"/>
                <w:szCs w:val="18"/>
                <w:color w:val="auto"/>
              </w:rPr>
            </w:pPr>
          </w:p>
        </w:tc>
        <w:tc>
          <w:tcPr>
            <w:tcW w:w="24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Price of Outstanding Options,</w:t>
            </w:r>
          </w:p>
        </w:tc>
        <w:tc>
          <w:tcPr>
            <w:tcW w:w="10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(excluding securities reflected</w:t>
            </w: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260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195"/>
        </w:trPr>
        <w:tc>
          <w:tcPr>
            <w:tcW w:w="3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600" w:type="dxa"/>
            <w:vAlign w:val="bottom"/>
            <w:shd w:val="clear" w:color="auto" w:fill="CCEEFF"/>
          </w:tcPr>
          <w:p>
            <w:pPr>
              <w:jc w:val="right"/>
              <w:ind w:right="133"/>
              <w:spacing w:after="0" w:line="230" w:lineRule="exact"/>
              <w:rPr>
                <w:sz w:val="20"/>
                <w:szCs w:val="20"/>
                <w:color w:val="auto"/>
              </w:rPr>
            </w:pPr>
            <w:r>
              <w:rPr>
                <w:rFonts w:ascii="Arial" w:cs="Arial" w:eastAsia="Arial" w:hAnsi="Arial"/>
                <w:sz w:val="16"/>
                <w:szCs w:val="16"/>
                <w:color w:val="auto"/>
              </w:rPr>
              <w:t>1,426,651</w:t>
            </w:r>
            <w:r>
              <w:rPr>
                <w:rFonts w:ascii="Arial" w:cs="Arial" w:eastAsia="Arial" w:hAnsi="Arial"/>
                <w:sz w:val="26"/>
                <w:szCs w:val="26"/>
                <w:color w:val="auto"/>
                <w:vertAlign w:val="superscript"/>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2560" w:type="dxa"/>
            <w:vAlign w:val="bottom"/>
            <w:gridSpan w:val="2"/>
            <w:shd w:val="clear" w:color="auto" w:fill="CCEEFF"/>
          </w:tcPr>
          <w:p>
            <w:pPr>
              <w:jc w:val="right"/>
              <w:ind w:right="10"/>
              <w:spacing w:after="0" w:line="230" w:lineRule="exact"/>
              <w:rPr>
                <w:sz w:val="20"/>
                <w:szCs w:val="20"/>
                <w:color w:val="auto"/>
              </w:rPr>
            </w:pPr>
            <w:r>
              <w:rPr>
                <w:rFonts w:ascii="Arial" w:cs="Arial" w:eastAsia="Arial" w:hAnsi="Arial"/>
                <w:sz w:val="16"/>
                <w:szCs w:val="16"/>
                <w:color w:val="auto"/>
              </w:rPr>
              <w:t>954,178</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2600" w:type="dxa"/>
            <w:vAlign w:val="bottom"/>
            <w:vMerge w:val="restart"/>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security holders</w:t>
            </w:r>
          </w:p>
        </w:tc>
        <w:tc>
          <w:tcPr>
            <w:tcW w:w="2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shd w:val="clear" w:color="auto" w:fill="CCEEFF"/>
          </w:tcPr>
          <w:p>
            <w:pPr>
              <w:jc w:val="right"/>
              <w:ind w:right="133"/>
              <w:spacing w:after="0" w:line="210" w:lineRule="exact"/>
              <w:rPr>
                <w:sz w:val="20"/>
                <w:szCs w:val="20"/>
                <w:color w:val="auto"/>
              </w:rPr>
            </w:pPr>
            <w:r>
              <w:rPr>
                <w:rFonts w:ascii="Arial" w:cs="Arial" w:eastAsia="Arial" w:hAnsi="Arial"/>
                <w:sz w:val="15"/>
                <w:szCs w:val="15"/>
                <w:color w:val="auto"/>
              </w:rPr>
              <w:t>1,426,651</w:t>
            </w:r>
            <w:r>
              <w:rPr>
                <w:rFonts w:ascii="Arial" w:cs="Arial" w:eastAsia="Arial" w:hAnsi="Arial"/>
                <w:sz w:val="24"/>
                <w:szCs w:val="24"/>
                <w:color w:val="auto"/>
                <w:vertAlign w:val="superscript"/>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2560" w:type="dxa"/>
            <w:vAlign w:val="bottom"/>
            <w:gridSpan w:val="2"/>
            <w:shd w:val="clear" w:color="auto" w:fill="CCEEFF"/>
          </w:tcPr>
          <w:p>
            <w:pPr>
              <w:jc w:val="right"/>
              <w:ind w:right="10"/>
              <w:spacing w:after="0" w:line="210" w:lineRule="exact"/>
              <w:rPr>
                <w:sz w:val="20"/>
                <w:szCs w:val="20"/>
                <w:color w:val="auto"/>
              </w:rPr>
            </w:pPr>
            <w:r>
              <w:rPr>
                <w:rFonts w:ascii="Arial" w:cs="Arial" w:eastAsia="Arial" w:hAnsi="Arial"/>
                <w:sz w:val="15"/>
                <w:szCs w:val="15"/>
                <w:color w:val="auto"/>
              </w:rPr>
              <w:t>954,178</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______________________</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right="120" w:hanging="472"/>
        <w:spacing w:after="0" w:line="259"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includes 706,007 shares of NTIC common stock issuable upon the exercise of stock options outstanding as of August 31, 2021 under the Northern Technologies International Corporation Amended and Restated 2007 Stock Incentive Plan and 720,644 shares of NTIC common stock issuable upon the exercise of stock options outstanding as of August 31, 2021 under the Northern Technologies International Corporation Amended and Restated 2019 Stock Incentive Plan.</w:t>
      </w:r>
    </w:p>
    <w:p>
      <w:pPr>
        <w:spacing w:after="0" w:line="186" w:lineRule="exact"/>
        <w:rPr>
          <w:rFonts w:ascii="Arial" w:cs="Arial" w:eastAsia="Arial" w:hAnsi="Arial"/>
          <w:sz w:val="18"/>
          <w:szCs w:val="18"/>
          <w:color w:val="auto"/>
        </w:rPr>
      </w:pPr>
    </w:p>
    <w:p>
      <w:pPr>
        <w:ind w:left="480" w:hanging="472"/>
        <w:spacing w:after="0" w:line="25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187" w:lineRule="exact"/>
        <w:rPr>
          <w:rFonts w:ascii="Arial" w:cs="Arial" w:eastAsia="Arial" w:hAnsi="Arial"/>
          <w:sz w:val="18"/>
          <w:szCs w:val="18"/>
          <w:color w:val="auto"/>
        </w:rPr>
      </w:pPr>
    </w:p>
    <w:p>
      <w:pPr>
        <w:ind w:left="480" w:right="660" w:hanging="472"/>
        <w:spacing w:after="0" w:line="263"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includes 879,356 shares available as of August 31, 2021 for future issuance under Northern Technologies International Corporation Amended and Restated 2019 Stock Incentive Plan and 74,822 shares available at August 31, 2021 for future issuance under the Northern Technologies International Corporation Employee Stock Purchase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89" w:name="page90"/>
    <w:bookmarkEnd w:id="89"/>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53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13"/>
          </w:tcPr>
          <w:p>
            <w:pPr>
              <w:jc w:val="center"/>
              <w:ind w:right="1180"/>
              <w:spacing w:after="0"/>
              <w:rPr>
                <w:sz w:val="20"/>
                <w:szCs w:val="20"/>
                <w:color w:val="auto"/>
              </w:rPr>
            </w:pPr>
            <w:r>
              <w:rPr>
                <w:rFonts w:ascii="Arial" w:cs="Arial" w:eastAsia="Arial" w:hAnsi="Arial"/>
                <w:sz w:val="18"/>
                <w:szCs w:val="18"/>
                <w:b w:val="1"/>
                <w:bCs w:val="1"/>
                <w:color w:val="auto"/>
                <w:w w:val="92"/>
              </w:rPr>
              <w:t>Method of Filing</w:t>
            </w: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51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Restated Certificate of Incorporation of Northern Technologies</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940" w:type="dxa"/>
            <w:vAlign w:val="bottom"/>
            <w:tcBorders>
              <w:top w:val="single" w:sz="8" w:color="auto"/>
              <w:bottom w:val="single" w:sz="8" w:color="0000EE"/>
            </w:tcBorders>
            <w:gridSpan w:val="12"/>
          </w:tcPr>
          <w:p>
            <w:pPr>
              <w:jc w:val="center"/>
              <w:ind w:right="20"/>
              <w:spacing w:after="0" w:line="169"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Incorporated by reference to Exhibit 3.1 to NTIC’s Quarterly Report</w:t>
              </w:r>
            </w:hyperlink>
          </w:p>
        </w:tc>
        <w:tc>
          <w:tcPr>
            <w:tcW w:w="100" w:type="dxa"/>
            <w:vAlign w:val="bottom"/>
            <w:tcBorders>
              <w:top w:val="single" w:sz="8" w:color="auto"/>
            </w:tcBorders>
            <w:gridSpan w:val="4"/>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International Corporation</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bottom w:val="single" w:sz="8" w:color="0000EE"/>
            </w:tcBorders>
            <w:gridSpan w:val="17"/>
          </w:tcPr>
          <w:p>
            <w:pPr>
              <w:jc w:val="cente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on Form 10-Q for the fiscal quarter ended February 28, 2009 (File No.</w:t>
              </w:r>
            </w:hyperlink>
          </w:p>
        </w:tc>
        <w:tc>
          <w:tcPr>
            <w:tcW w:w="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60" w:type="dxa"/>
            <w:vAlign w:val="bottom"/>
            <w:gridSpan w:val="8"/>
          </w:tcPr>
          <w:p>
            <w:pPr>
              <w:spacing w:after="0"/>
              <w:rPr>
                <w:sz w:val="17"/>
                <w:szCs w:val="17"/>
                <w:color w:val="auto"/>
              </w:rPr>
            </w:pPr>
          </w:p>
        </w:tc>
        <w:tc>
          <w:tcPr>
            <w:tcW w:w="84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001-11038)</w:t>
              </w:r>
            </w:hyperlink>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4"/>
              </w:rPr>
              <w:t>Certificate of Amendment to the Restated Certificate of Incorporation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EE"/>
            </w:tcBorders>
            <w:gridSpan w:val="15"/>
          </w:tcPr>
          <w:p>
            <w:pPr>
              <w:jc w:val="cente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Incorporated by reference to Exhibit 3.1 to NTIC’s Current Report on</w:t>
              </w:r>
            </w:hyperlink>
          </w:p>
        </w:tc>
        <w:tc>
          <w:tcPr>
            <w:tcW w:w="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3"/>
              </w:rPr>
              <w:t>of Northern Technologies International Corporation dated January 16,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bottom w:val="single" w:sz="8" w:color="0000EE"/>
            </w:tcBorders>
            <w:gridSpan w:val="11"/>
          </w:tcPr>
          <w:p>
            <w:pPr>
              <w:jc w:val="cente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Form 8-K as filed with the Securities and Exchange Commission on</w:t>
              </w:r>
            </w:hyperlink>
          </w:p>
        </w:tc>
        <w:tc>
          <w:tcPr>
            <w:tcW w:w="12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gridSpan w:val="13"/>
          </w:tcPr>
          <w:p>
            <w:pPr>
              <w:jc w:val="center"/>
              <w:ind w:right="1180"/>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January 16, 2018 (File No. 001-11038)</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5"/>
              </w:rPr>
              <w:t>Certificate of Validation of the Certificate of Amendment to Restated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EE"/>
            </w:tcBorders>
            <w:gridSpan w:val="15"/>
          </w:tcPr>
          <w:p>
            <w:pPr>
              <w:jc w:val="cente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Incorporated by reference to Exhibit 3.1 to NTIC’s Current Report on</w:t>
              </w:r>
            </w:hyperlink>
          </w:p>
        </w:tc>
        <w:tc>
          <w:tcPr>
            <w:tcW w:w="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8"/>
              </w:rPr>
              <w:t>Certificate of Incorporation of Northern Technologies International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bottom w:val="single" w:sz="8" w:color="0000EE"/>
            </w:tcBorders>
            <w:gridSpan w:val="11"/>
          </w:tcPr>
          <w:p>
            <w:pPr>
              <w:jc w:val="cente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Form 8-K as filed with the Securities and Exchange Commission on</w:t>
              </w:r>
            </w:hyperlink>
          </w:p>
        </w:tc>
        <w:tc>
          <w:tcPr>
            <w:tcW w:w="12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Corporation dated January 18, 2019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gridSpan w:val="13"/>
          </w:tcPr>
          <w:p>
            <w:pPr>
              <w:jc w:val="center"/>
              <w:ind w:right="1180"/>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January 25, 2019 (File No. 001-11038)</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1"/>
              </w:rPr>
              <w:t>Amended and Restated Bylaws of Northern Technologies International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EE"/>
            </w:tcBorders>
            <w:gridSpan w:val="15"/>
          </w:tcPr>
          <w:p>
            <w:pPr>
              <w:jc w:val="cente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Incorporated by reference to Exhibit 3.1 to NTIC’s Current Report on</w:t>
              </w:r>
            </w:hyperlink>
          </w:p>
        </w:tc>
        <w:tc>
          <w:tcPr>
            <w:tcW w:w="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bottom w:val="single" w:sz="8" w:color="0000EE"/>
            </w:tcBorders>
            <w:gridSpan w:val="11"/>
          </w:tcPr>
          <w:p>
            <w:pPr>
              <w:jc w:val="cente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8-K as filed with the Securities and Exchange Commission on</w:t>
              </w:r>
            </w:hyperlink>
          </w:p>
        </w:tc>
        <w:tc>
          <w:tcPr>
            <w:tcW w:w="12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80" w:type="dxa"/>
            <w:vAlign w:val="bottom"/>
            <w:gridSpan w:val="14"/>
          </w:tcPr>
          <w:p>
            <w:pPr>
              <w:jc w:val="center"/>
              <w:ind w:right="1080"/>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November 24, 2008 (File No. 001-11038)</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38"/>
        </w:trPr>
        <w:tc>
          <w:tcPr>
            <w:tcW w:w="6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3"/>
              </w:rPr>
              <w:t>Specimen Stock Certificate Representing Common Stock of Northern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5"/>
          </w:tcPr>
          <w:p>
            <w:pPr>
              <w:jc w:val="center"/>
              <w:ind w:right="120"/>
              <w:spacing w:after="0"/>
              <w:rPr>
                <w:sz w:val="20"/>
                <w:szCs w:val="20"/>
                <w:color w:val="auto"/>
              </w:rPr>
            </w:pPr>
            <w:r>
              <w:rPr>
                <w:rFonts w:ascii="Arial" w:cs="Arial" w:eastAsia="Arial" w:hAnsi="Arial"/>
                <w:sz w:val="18"/>
                <w:szCs w:val="18"/>
                <w:color w:val="auto"/>
                <w:w w:val="92"/>
              </w:rPr>
              <w:t>Incorporated by reference to Exhibit 4.1 to NTIC’s Registration</w:t>
            </w: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Technologies International Corporation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15"/>
          </w:tcPr>
          <w:p>
            <w:pPr>
              <w:jc w:val="center"/>
              <w:ind w:right="140"/>
              <w:spacing w:after="0"/>
              <w:rPr>
                <w:sz w:val="20"/>
                <w:szCs w:val="20"/>
                <w:color w:val="auto"/>
              </w:rPr>
            </w:pPr>
            <w:r>
              <w:rPr>
                <w:rFonts w:ascii="Arial" w:cs="Arial" w:eastAsia="Arial" w:hAnsi="Arial"/>
                <w:sz w:val="18"/>
                <w:szCs w:val="18"/>
                <w:color w:val="auto"/>
                <w:w w:val="91"/>
              </w:rPr>
              <w:t>Statement on Form 10 (File No. 001-19331) (Filed on paper -</w:t>
            </w:r>
          </w:p>
        </w:tc>
      </w:tr>
      <w:tr>
        <w:trPr>
          <w:trHeight w:val="230"/>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15"/>
          </w:tcPr>
          <w:p>
            <w:pPr>
              <w:jc w:val="center"/>
              <w:ind w:right="140"/>
              <w:spacing w:after="0"/>
              <w:rPr>
                <w:sz w:val="20"/>
                <w:szCs w:val="20"/>
                <w:color w:val="auto"/>
              </w:rPr>
            </w:pPr>
            <w:r>
              <w:rPr>
                <w:rFonts w:ascii="Arial" w:cs="Arial" w:eastAsia="Arial" w:hAnsi="Arial"/>
                <w:sz w:val="18"/>
                <w:szCs w:val="18"/>
                <w:color w:val="auto"/>
                <w:w w:val="91"/>
              </w:rPr>
              <w:t>hyperlink is not required pursuant to Rule 105 of Regulation S-T)</w:t>
            </w:r>
          </w:p>
        </w:tc>
      </w:tr>
      <w:tr>
        <w:trPr>
          <w:trHeight w:val="391"/>
        </w:trPr>
        <w:tc>
          <w:tcPr>
            <w:tcW w:w="6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3"/>
              </w:rPr>
              <w:t>Description of Common Stock of Northern Technologies International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gridSpan w:val="17"/>
          </w:tcPr>
          <w:p>
            <w:pPr>
              <w:jc w:val="center"/>
              <w:ind w:right="80"/>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Incorporated by reference to Exhibit 4.2 to NTIC’s Annual Report on</w:t>
              </w:r>
            </w:hyperlink>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40" w:type="dxa"/>
            <w:vAlign w:val="bottom"/>
            <w:tcBorders>
              <w:top w:val="single" w:sz="8" w:color="0000EE"/>
            </w:tcBorders>
            <w:gridSpan w:val="12"/>
          </w:tcPr>
          <w:p>
            <w:pPr>
              <w:jc w:val="center"/>
              <w:ind w:right="40"/>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Form 10-K for the fiscal year ended August 31, 2020 (File No. 001-</w:t>
              </w:r>
            </w:hyperlink>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gridSpan w:val="5"/>
          </w:tcPr>
          <w:p>
            <w:pPr>
              <w:spacing w:after="0"/>
              <w:rPr>
                <w:sz w:val="17"/>
                <w:szCs w:val="17"/>
                <w:color w:val="auto"/>
              </w:rPr>
            </w:pPr>
          </w:p>
        </w:tc>
        <w:tc>
          <w:tcPr>
            <w:tcW w:w="2860" w:type="dxa"/>
            <w:vAlign w:val="bottom"/>
            <w:tcBorders>
              <w:top w:val="single" w:sz="8" w:color="0000EE"/>
            </w:tcBorders>
            <w:gridSpan w:val="6"/>
          </w:tcPr>
          <w:p>
            <w:pPr>
              <w:jc w:val="center"/>
              <w:ind w:right="140"/>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11038)</w:t>
              </w:r>
            </w:hyperlink>
          </w:p>
        </w:tc>
        <w:tc>
          <w:tcPr>
            <w:tcW w:w="9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0"/>
        </w:trPr>
        <w:tc>
          <w:tcPr>
            <w:tcW w:w="680" w:type="dxa"/>
            <w:vAlign w:val="bottom"/>
          </w:tcPr>
          <w:p>
            <w:pPr>
              <w:spacing w:after="0"/>
              <w:rPr>
                <w:sz w:val="24"/>
                <w:szCs w:val="24"/>
                <w:color w:val="auto"/>
              </w:rPr>
            </w:pPr>
          </w:p>
        </w:tc>
        <w:tc>
          <w:tcPr>
            <w:tcW w:w="5300" w:type="dxa"/>
            <w:vAlign w:val="bottom"/>
            <w:gridSpan w:val="2"/>
          </w:tcPr>
          <w:p>
            <w:pPr>
              <w:jc w:val="right"/>
              <w:ind w:right="17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90" w:name="page91"/>
    <w:bookmarkEnd w:id="90"/>
    <w:p>
      <w:pPr>
        <w:ind w:left="20"/>
        <w:spacing w:after="0"/>
        <w:tabs>
          <w:tab w:leader="none" w:pos="8020" w:val="left"/>
        </w:tabs>
        <w:rPr>
          <w:sz w:val="20"/>
          <w:szCs w:val="20"/>
          <w:color w:val="auto"/>
        </w:rPr>
      </w:pPr>
      <w:r>
        <w:rPr>
          <w:rFonts w:ascii="Arial" w:cs="Arial" w:eastAsia="Arial" w:hAnsi="Arial"/>
          <w:sz w:val="18"/>
          <w:szCs w:val="18"/>
          <w:u w:val="single" w:color="auto"/>
          <w:color w:val="auto"/>
        </w:rPr>
        <w:t>Item No.</w:t>
      </w:r>
      <w:r>
        <w:rPr>
          <w:rFonts w:ascii="Arial" w:cs="Arial" w:eastAsia="Arial" w:hAnsi="Arial"/>
          <w:sz w:val="18"/>
          <w:szCs w:val="18"/>
          <w:color w:val="auto"/>
        </w:rPr>
        <w:t xml:space="preserve">  Item</w:t>
      </w:r>
      <w:r>
        <w:rPr>
          <w:sz w:val="20"/>
          <w:szCs w:val="20"/>
          <w:color w:val="auto"/>
        </w:rPr>
        <w:tab/>
      </w:r>
      <w:r>
        <w:rPr>
          <w:rFonts w:ascii="Arial" w:cs="Arial" w:eastAsia="Arial" w:hAnsi="Arial"/>
          <w:sz w:val="17"/>
          <w:szCs w:val="17"/>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5440" w:type="dxa"/>
            <w:vAlign w:val="bottom"/>
          </w:tcPr>
          <w:p>
            <w:pPr>
              <w:ind w:left="140"/>
              <w:spacing w:after="0"/>
              <w:rPr>
                <w:sz w:val="20"/>
                <w:szCs w:val="20"/>
                <w:color w:val="auto"/>
              </w:rPr>
            </w:pPr>
            <w:r>
              <w:rPr>
                <w:rFonts w:ascii="Arial" w:cs="Arial" w:eastAsia="Arial" w:hAnsi="Arial"/>
                <w:sz w:val="18"/>
                <w:szCs w:val="18"/>
                <w:color w:val="auto"/>
              </w:rPr>
              <w:t>Northern Technologies International Corporation Amended and</w:t>
            </w:r>
          </w:p>
        </w:tc>
        <w:tc>
          <w:tcPr>
            <w:tcW w:w="5140" w:type="dxa"/>
            <w:vAlign w:val="bottom"/>
            <w:tcBorders>
              <w:bottom w:val="single" w:sz="8" w:color="0000EE"/>
            </w:tcBorders>
            <w:gridSpan w:val="19"/>
          </w:tcPr>
          <w:p>
            <w:pPr>
              <w:jc w:val="center"/>
              <w:ind w:right="20"/>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Incorporated by reference to Exhibit 10.1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Restated 2019 Stock Incentive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40" w:type="dxa"/>
            <w:vAlign w:val="bottom"/>
            <w:tcBorders>
              <w:bottom w:val="single" w:sz="8" w:color="0000EE"/>
            </w:tcBorders>
            <w:gridSpan w:val="8"/>
          </w:tcPr>
          <w:p>
            <w:pPr>
              <w:jc w:val="center"/>
              <w:ind w:right="40"/>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January 15, 2021 (File No. 001-11038)</w:t>
              </w:r>
            </w:hyperlink>
          </w:p>
        </w:tc>
        <w:tc>
          <w:tcPr>
            <w:tcW w:w="1140" w:type="dxa"/>
            <w:vAlign w:val="bottom"/>
            <w:gridSpan w:val="6"/>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5440" w:type="dxa"/>
            <w:vAlign w:val="bottom"/>
          </w:tcPr>
          <w:p>
            <w:pPr>
              <w:ind w:left="140"/>
              <w:spacing w:after="0"/>
              <w:rPr>
                <w:sz w:val="20"/>
                <w:szCs w:val="20"/>
                <w:color w:val="auto"/>
              </w:rPr>
            </w:pPr>
            <w:r>
              <w:rPr>
                <w:rFonts w:ascii="Arial" w:cs="Arial" w:eastAsia="Arial" w:hAnsi="Arial"/>
                <w:sz w:val="18"/>
                <w:szCs w:val="18"/>
                <w:color w:val="auto"/>
                <w:w w:val="95"/>
              </w:rPr>
              <w:t>Form of Incentive Stock Option Agreement for Northern Technologies</w:t>
            </w:r>
          </w:p>
        </w:tc>
        <w:tc>
          <w:tcPr>
            <w:tcW w:w="5140" w:type="dxa"/>
            <w:vAlign w:val="bottom"/>
            <w:tcBorders>
              <w:bottom w:val="single" w:sz="8" w:color="0000EE"/>
            </w:tcBorders>
            <w:gridSpan w:val="19"/>
          </w:tcPr>
          <w:p>
            <w:pPr>
              <w:jc w:val="center"/>
              <w:ind w:right="20"/>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10.2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w w:val="93"/>
              </w:rPr>
              <w:t>International Corporation Amended and Restated 2019 Stock Incentive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40" w:type="dxa"/>
            <w:vAlign w:val="bottom"/>
            <w:tcBorders>
              <w:bottom w:val="single" w:sz="8" w:color="0000EE"/>
            </w:tcBorders>
            <w:gridSpan w:val="8"/>
          </w:tcPr>
          <w:p>
            <w:pPr>
              <w:jc w:val="center"/>
              <w:ind w:right="40"/>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January 25, 2019 (File No. 001-11038)</w:t>
              </w:r>
            </w:hyperlink>
          </w:p>
        </w:tc>
        <w:tc>
          <w:tcPr>
            <w:tcW w:w="1140" w:type="dxa"/>
            <w:vAlign w:val="bottom"/>
            <w:gridSpan w:val="6"/>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5440" w:type="dxa"/>
            <w:vAlign w:val="bottom"/>
          </w:tcPr>
          <w:p>
            <w:pPr>
              <w:ind w:left="140"/>
              <w:spacing w:after="0"/>
              <w:rPr>
                <w:sz w:val="20"/>
                <w:szCs w:val="20"/>
                <w:color w:val="auto"/>
              </w:rPr>
            </w:pPr>
            <w:r>
              <w:rPr>
                <w:rFonts w:ascii="Arial" w:cs="Arial" w:eastAsia="Arial" w:hAnsi="Arial"/>
                <w:sz w:val="18"/>
                <w:szCs w:val="18"/>
                <w:color w:val="auto"/>
              </w:rPr>
              <w:t>Form of Non-Statutory Stock Option Agreement for Northern</w:t>
            </w:r>
          </w:p>
        </w:tc>
        <w:tc>
          <w:tcPr>
            <w:tcW w:w="5140" w:type="dxa"/>
            <w:vAlign w:val="bottom"/>
            <w:tcBorders>
              <w:bottom w:val="single" w:sz="8" w:color="0000EE"/>
            </w:tcBorders>
            <w:gridSpan w:val="19"/>
          </w:tcPr>
          <w:p>
            <w:pPr>
              <w:jc w:val="center"/>
              <w:ind w:right="20"/>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Incorporated by reference to Exhibit 10.3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w w:val="96"/>
              </w:rPr>
              <w:t>Technologies International Corporation Amended and Restated 2019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Stock Incentive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40" w:type="dxa"/>
            <w:vAlign w:val="bottom"/>
            <w:tcBorders>
              <w:bottom w:val="single" w:sz="8" w:color="0000EE"/>
            </w:tcBorders>
            <w:gridSpan w:val="8"/>
          </w:tcPr>
          <w:p>
            <w:pPr>
              <w:jc w:val="center"/>
              <w:ind w:right="40"/>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January 25, 2019 (File No. 001-11038)</w:t>
              </w:r>
            </w:hyperlink>
          </w:p>
        </w:tc>
        <w:tc>
          <w:tcPr>
            <w:tcW w:w="1140" w:type="dxa"/>
            <w:vAlign w:val="bottom"/>
            <w:gridSpan w:val="6"/>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5440" w:type="dxa"/>
            <w:vAlign w:val="bottom"/>
          </w:tcPr>
          <w:p>
            <w:pPr>
              <w:ind w:left="140"/>
              <w:spacing w:after="0"/>
              <w:rPr>
                <w:sz w:val="20"/>
                <w:szCs w:val="20"/>
                <w:color w:val="auto"/>
              </w:rPr>
            </w:pPr>
            <w:r>
              <w:rPr>
                <w:rFonts w:ascii="Arial" w:cs="Arial" w:eastAsia="Arial" w:hAnsi="Arial"/>
                <w:sz w:val="18"/>
                <w:szCs w:val="18"/>
                <w:color w:val="auto"/>
              </w:rPr>
              <w:t>Northern Technologies International Corporation Amended and</w:t>
            </w:r>
          </w:p>
        </w:tc>
        <w:tc>
          <w:tcPr>
            <w:tcW w:w="5140" w:type="dxa"/>
            <w:vAlign w:val="bottom"/>
            <w:tcBorders>
              <w:bottom w:val="single" w:sz="8" w:color="0000EE"/>
            </w:tcBorders>
            <w:gridSpan w:val="19"/>
          </w:tcPr>
          <w:p>
            <w:pPr>
              <w:jc w:val="center"/>
              <w:ind w:right="20"/>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10.1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Restated 2007 Stock Incentive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6"/>
          </w:tcPr>
          <w:p>
            <w:pPr>
              <w:jc w:val="center"/>
              <w:ind w:right="20"/>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January 24, 2011 (File No. 001-11038)</w:t>
              </w:r>
            </w:hyperlink>
          </w:p>
        </w:tc>
        <w:tc>
          <w:tcPr>
            <w:tcW w:w="1160" w:type="dxa"/>
            <w:vAlign w:val="bottom"/>
            <w:gridSpan w:val="7"/>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5440" w:type="dxa"/>
            <w:vAlign w:val="bottom"/>
          </w:tcPr>
          <w:p>
            <w:pPr>
              <w:ind w:left="140"/>
              <w:spacing w:after="0"/>
              <w:rPr>
                <w:sz w:val="20"/>
                <w:szCs w:val="20"/>
                <w:color w:val="auto"/>
              </w:rPr>
            </w:pPr>
            <w:r>
              <w:rPr>
                <w:rFonts w:ascii="Arial" w:cs="Arial" w:eastAsia="Arial" w:hAnsi="Arial"/>
                <w:sz w:val="18"/>
                <w:szCs w:val="18"/>
                <w:color w:val="auto"/>
                <w:w w:val="95"/>
              </w:rPr>
              <w:t>Form of Incentive Stock Option Agreement for Northern Technologies</w:t>
            </w:r>
          </w:p>
        </w:tc>
        <w:tc>
          <w:tcPr>
            <w:tcW w:w="5140" w:type="dxa"/>
            <w:vAlign w:val="bottom"/>
            <w:tcBorders>
              <w:bottom w:val="single" w:sz="8" w:color="0000EE"/>
            </w:tcBorders>
            <w:gridSpan w:val="19"/>
          </w:tcPr>
          <w:p>
            <w:pPr>
              <w:jc w:val="center"/>
              <w:ind w:right="20"/>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to Exhibit 10.2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w w:val="93"/>
              </w:rPr>
              <w:t>International Corporation Amended and Restated 2007 Stock Incentive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6"/>
          </w:tcPr>
          <w:p>
            <w:pPr>
              <w:jc w:val="center"/>
              <w:ind w:right="20"/>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January 24, 2011 (File No. 001-11038)</w:t>
              </w:r>
            </w:hyperlink>
          </w:p>
        </w:tc>
        <w:tc>
          <w:tcPr>
            <w:tcW w:w="1160" w:type="dxa"/>
            <w:vAlign w:val="bottom"/>
            <w:gridSpan w:val="7"/>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5440" w:type="dxa"/>
            <w:vAlign w:val="bottom"/>
          </w:tcPr>
          <w:p>
            <w:pPr>
              <w:ind w:left="140"/>
              <w:spacing w:after="0"/>
              <w:rPr>
                <w:sz w:val="20"/>
                <w:szCs w:val="20"/>
                <w:color w:val="auto"/>
              </w:rPr>
            </w:pPr>
            <w:r>
              <w:rPr>
                <w:rFonts w:ascii="Arial" w:cs="Arial" w:eastAsia="Arial" w:hAnsi="Arial"/>
                <w:sz w:val="18"/>
                <w:szCs w:val="18"/>
                <w:color w:val="auto"/>
              </w:rPr>
              <w:t>Form of Non-Statutory Stock Option Agreement for Northern</w:t>
            </w:r>
          </w:p>
        </w:tc>
        <w:tc>
          <w:tcPr>
            <w:tcW w:w="5140" w:type="dxa"/>
            <w:vAlign w:val="bottom"/>
            <w:gridSpan w:val="19"/>
          </w:tcPr>
          <w:p>
            <w:pPr>
              <w:jc w:val="cente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Incorporated by reference to Exhibit 10.3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w w:val="96"/>
              </w:rPr>
              <w:t>Technologies International Corporation Amended and Restated 2007</w:t>
            </w: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20" w:type="dxa"/>
            <w:vAlign w:val="bottom"/>
            <w:tcBorders>
              <w:top w:val="single" w:sz="8" w:color="0000EE"/>
              <w:bottom w:val="single" w:sz="8" w:color="0000EE"/>
            </w:tcBorders>
            <w:gridSpan w:val="12"/>
          </w:tcPr>
          <w:p>
            <w:pPr>
              <w:jc w:val="cente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Form 8-K as filed with the Securities and Exchange Commission on</w:t>
              </w:r>
            </w:hyperlink>
          </w:p>
        </w:tc>
        <w:tc>
          <w:tcPr>
            <w:tcW w:w="1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Stock Incentive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6"/>
          </w:tcPr>
          <w:p>
            <w:pPr>
              <w:jc w:val="center"/>
              <w:ind w:right="20"/>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January 24, 2011 (File No. 001-11038)</w:t>
              </w:r>
            </w:hyperlink>
          </w:p>
        </w:tc>
        <w:tc>
          <w:tcPr>
            <w:tcW w:w="1160" w:type="dxa"/>
            <w:vAlign w:val="bottom"/>
            <w:gridSpan w:val="7"/>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5440" w:type="dxa"/>
            <w:vAlign w:val="bottom"/>
          </w:tcPr>
          <w:p>
            <w:pPr>
              <w:ind w:left="140"/>
              <w:spacing w:after="0"/>
              <w:rPr>
                <w:sz w:val="20"/>
                <w:szCs w:val="20"/>
                <w:color w:val="auto"/>
              </w:rPr>
            </w:pPr>
            <w:r>
              <w:rPr>
                <w:rFonts w:ascii="Arial" w:cs="Arial" w:eastAsia="Arial" w:hAnsi="Arial"/>
                <w:sz w:val="18"/>
                <w:szCs w:val="18"/>
                <w:color w:val="auto"/>
              </w:rPr>
              <w:t>Form of Restricted Stock Agreement for Northern Technologies</w:t>
            </w:r>
          </w:p>
        </w:tc>
        <w:tc>
          <w:tcPr>
            <w:tcW w:w="5140" w:type="dxa"/>
            <w:vAlign w:val="bottom"/>
            <w:gridSpan w:val="19"/>
          </w:tcPr>
          <w:p>
            <w:pPr>
              <w:jc w:val="cente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 reference to Exhibit 10.4 to NTIC’s Current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w w:val="93"/>
              </w:rPr>
              <w:t>International Corporation Amended and Restated 2007 Stock Incentive</w:t>
            </w: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20" w:type="dxa"/>
            <w:vAlign w:val="bottom"/>
            <w:tcBorders>
              <w:top w:val="single" w:sz="8" w:color="0000EE"/>
              <w:bottom w:val="single" w:sz="8" w:color="0000EE"/>
            </w:tcBorders>
            <w:gridSpan w:val="12"/>
          </w:tcPr>
          <w:p>
            <w:pPr>
              <w:jc w:val="cente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Form 8-K as filed with the Securities and Exchange Commission on</w:t>
              </w:r>
            </w:hyperlink>
          </w:p>
        </w:tc>
        <w:tc>
          <w:tcPr>
            <w:tcW w:w="1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3"/>
          </w:tcPr>
          <w:p>
            <w:pPr>
              <w:jc w:val="center"/>
              <w:ind w:right="1180"/>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January 24, 2011 (File No. 001-11038)</w:t>
              </w:r>
            </w:hyperlink>
          </w:p>
        </w:tc>
      </w:tr>
      <w:tr>
        <w:trPr>
          <w:trHeight w:val="20"/>
        </w:trPr>
        <w:tc>
          <w:tcPr>
            <w:tcW w:w="6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5440" w:type="dxa"/>
            <w:vAlign w:val="bottom"/>
          </w:tcPr>
          <w:p>
            <w:pPr>
              <w:ind w:left="140"/>
              <w:spacing w:after="0"/>
              <w:rPr>
                <w:sz w:val="20"/>
                <w:szCs w:val="20"/>
                <w:color w:val="auto"/>
              </w:rPr>
            </w:pPr>
            <w:r>
              <w:rPr>
                <w:rFonts w:ascii="Arial" w:cs="Arial" w:eastAsia="Arial" w:hAnsi="Arial"/>
                <w:sz w:val="18"/>
                <w:szCs w:val="18"/>
                <w:color w:val="auto"/>
              </w:rPr>
              <w:t>Northern Technologies International Corporation Employee Stock</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tcBorders>
              <w:bottom w:val="single" w:sz="8" w:color="0000EE"/>
            </w:tcBorders>
            <w:gridSpan w:val="14"/>
          </w:tcPr>
          <w:p>
            <w:pPr>
              <w:jc w:val="cente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10.11 to NTIC’s Annual Report</w:t>
              </w:r>
            </w:hyperlink>
          </w:p>
        </w:tc>
        <w:tc>
          <w:tcPr>
            <w:tcW w:w="100" w:type="dxa"/>
            <w:vAlign w:val="bottom"/>
            <w:gridSpan w:val="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Purchase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jc w:val="center"/>
              <w:ind w:right="100"/>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on Form 10-KSB for the fiscal year ended August 31, 2006 (File No.</w:t>
              </w:r>
            </w:hyperlink>
          </w:p>
        </w:tc>
      </w:tr>
      <w:tr>
        <w:trPr>
          <w:trHeight w:val="196"/>
        </w:trPr>
        <w:tc>
          <w:tcPr>
            <w:tcW w:w="6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60" w:type="dxa"/>
            <w:vAlign w:val="bottom"/>
            <w:tcBorders>
              <w:top w:val="single" w:sz="8" w:color="0000EE"/>
            </w:tcBorders>
            <w:gridSpan w:val="5"/>
          </w:tcPr>
          <w:p>
            <w:pPr>
              <w:spacing w:after="0"/>
              <w:rPr>
                <w:sz w:val="17"/>
                <w:szCs w:val="17"/>
                <w:color w:val="auto"/>
              </w:rPr>
            </w:pPr>
          </w:p>
        </w:tc>
        <w:tc>
          <w:tcPr>
            <w:tcW w:w="84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001-11038)</w:t>
              </w:r>
            </w:hyperlink>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5440" w:type="dxa"/>
            <w:vAlign w:val="bottom"/>
          </w:tcPr>
          <w:p>
            <w:pPr>
              <w:ind w:left="140"/>
              <w:spacing w:after="0"/>
              <w:rPr>
                <w:sz w:val="20"/>
                <w:szCs w:val="20"/>
                <w:color w:val="auto"/>
              </w:rPr>
            </w:pPr>
            <w:r>
              <w:rPr>
                <w:rFonts w:ascii="Arial" w:cs="Arial" w:eastAsia="Arial" w:hAnsi="Arial"/>
                <w:sz w:val="18"/>
                <w:szCs w:val="18"/>
                <w:color w:val="auto"/>
                <w:w w:val="99"/>
              </w:rPr>
              <w:t>Material Terms of Northern Technologies International Corporation</w:t>
            </w:r>
          </w:p>
        </w:tc>
        <w:tc>
          <w:tcPr>
            <w:tcW w:w="20" w:type="dxa"/>
            <w:vAlign w:val="bottom"/>
          </w:tcPr>
          <w:p>
            <w:pPr>
              <w:spacing w:after="0"/>
              <w:rPr>
                <w:sz w:val="24"/>
                <w:szCs w:val="24"/>
                <w:color w:val="auto"/>
              </w:rPr>
            </w:pPr>
          </w:p>
        </w:tc>
        <w:tc>
          <w:tcPr>
            <w:tcW w:w="5120" w:type="dxa"/>
            <w:vAlign w:val="bottom"/>
            <w:gridSpan w:val="18"/>
          </w:tcPr>
          <w:p>
            <w:pPr>
              <w:jc w:val="center"/>
              <w:ind w:right="40"/>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Incorporated by reference to Exhibit 10.6 to NTIC’s Annual Report on</w:t>
              </w:r>
            </w:hyperlink>
          </w:p>
        </w:tc>
      </w:tr>
      <w:tr>
        <w:trPr>
          <w:trHeight w:val="196"/>
        </w:trPr>
        <w:tc>
          <w:tcPr>
            <w:tcW w:w="660" w:type="dxa"/>
            <w:vAlign w:val="bottom"/>
          </w:tcPr>
          <w:p>
            <w:pPr>
              <w:spacing w:after="0"/>
              <w:rPr>
                <w:sz w:val="17"/>
                <w:szCs w:val="17"/>
                <w:color w:val="auto"/>
              </w:rPr>
            </w:pPr>
          </w:p>
        </w:tc>
        <w:tc>
          <w:tcPr>
            <w:tcW w:w="5440" w:type="dxa"/>
            <w:vAlign w:val="bottom"/>
          </w:tcPr>
          <w:p>
            <w:pPr>
              <w:ind w:left="140"/>
              <w:spacing w:after="0" w:line="196" w:lineRule="exact"/>
              <w:rPr>
                <w:sz w:val="20"/>
                <w:szCs w:val="20"/>
                <w:color w:val="auto"/>
              </w:rPr>
            </w:pPr>
            <w:r>
              <w:rPr>
                <w:rFonts w:ascii="Arial" w:cs="Arial" w:eastAsia="Arial" w:hAnsi="Arial"/>
                <w:sz w:val="18"/>
                <w:szCs w:val="18"/>
                <w:color w:val="auto"/>
              </w:rPr>
              <w:t>Annual Bonus Plan*</w:t>
            </w: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80" w:type="dxa"/>
            <w:vAlign w:val="bottom"/>
            <w:tcBorders>
              <w:top w:val="single" w:sz="8" w:color="0000EE"/>
            </w:tcBorders>
            <w:gridSpan w:val="13"/>
          </w:tcPr>
          <w:p>
            <w:pPr>
              <w:jc w:val="center"/>
              <w:ind w:right="80"/>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Form 10-K for the fiscal year ended August 31, 2015 (File No. 001-</w:t>
              </w:r>
            </w:hyperlink>
          </w:p>
        </w:tc>
        <w:tc>
          <w:tcPr>
            <w:tcW w:w="4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gridSpan w:val="4"/>
          </w:tcPr>
          <w:p>
            <w:pPr>
              <w:spacing w:after="0"/>
              <w:rPr>
                <w:sz w:val="17"/>
                <w:szCs w:val="17"/>
                <w:color w:val="auto"/>
              </w:rPr>
            </w:pPr>
          </w:p>
        </w:tc>
        <w:tc>
          <w:tcPr>
            <w:tcW w:w="2860" w:type="dxa"/>
            <w:vAlign w:val="bottom"/>
            <w:tcBorders>
              <w:top w:val="single" w:sz="8" w:color="0000EE"/>
            </w:tcBorders>
            <w:gridSpan w:val="6"/>
          </w:tcPr>
          <w:p>
            <w:pPr>
              <w:jc w:val="center"/>
              <w:ind w:right="140"/>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11038)</w:t>
              </w:r>
            </w:hyperlink>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660" w:type="dxa"/>
            <w:vAlign w:val="bottom"/>
          </w:tcPr>
          <w:p>
            <w:pPr>
              <w:spacing w:after="0"/>
              <w:rPr>
                <w:sz w:val="24"/>
                <w:szCs w:val="24"/>
                <w:color w:val="auto"/>
              </w:rPr>
            </w:pPr>
          </w:p>
        </w:tc>
        <w:tc>
          <w:tcPr>
            <w:tcW w:w="5440" w:type="dxa"/>
            <w:vAlign w:val="bottom"/>
          </w:tcPr>
          <w:p>
            <w:pPr>
              <w:ind w:left="48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type w:val="continuous"/>
        </w:sectPr>
      </w:pPr>
    </w:p>
    <w:bookmarkStart w:id="91" w:name="page92"/>
    <w:bookmarkEnd w:id="91"/>
    <w:p>
      <w:pPr>
        <w:ind w:left="20"/>
        <w:spacing w:after="0"/>
        <w:tabs>
          <w:tab w:leader="none" w:pos="8000" w:val="left"/>
        </w:tabs>
        <w:rPr>
          <w:sz w:val="20"/>
          <w:szCs w:val="20"/>
          <w:color w:val="auto"/>
        </w:rPr>
      </w:pPr>
      <w:r>
        <w:rPr>
          <w:rFonts w:ascii="Arial" w:cs="Arial" w:eastAsia="Arial" w:hAnsi="Arial"/>
          <w:sz w:val="18"/>
          <w:szCs w:val="18"/>
          <w:b w:val="1"/>
          <w:bCs w:val="1"/>
          <w:u w:val="single" w:color="auto"/>
          <w:color w:val="auto"/>
        </w:rPr>
        <w:t>Item No.</w:t>
      </w:r>
      <w:r>
        <w:rPr>
          <w:rFonts w:ascii="Arial" w:cs="Arial" w:eastAsia="Arial" w:hAnsi="Arial"/>
          <w:sz w:val="18"/>
          <w:szCs w:val="18"/>
          <w:b w:val="1"/>
          <w:bCs w:val="1"/>
          <w:color w:val="auto"/>
        </w:rPr>
        <w:t xml:space="preserve">  Item</w:t>
      </w:r>
      <w:r>
        <w:rPr>
          <w:sz w:val="20"/>
          <w:szCs w:val="20"/>
          <w:color w:val="auto"/>
        </w:rPr>
        <w:tab/>
      </w: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10.10</w:t>
            </w:r>
          </w:p>
        </w:tc>
        <w:tc>
          <w:tcPr>
            <w:tcW w:w="5360" w:type="dxa"/>
            <w:vAlign w:val="bottom"/>
          </w:tcPr>
          <w:p>
            <w:pPr>
              <w:ind w:left="120"/>
              <w:spacing w:after="0"/>
              <w:rPr>
                <w:sz w:val="20"/>
                <w:szCs w:val="20"/>
                <w:color w:val="auto"/>
              </w:rPr>
            </w:pPr>
            <w:r>
              <w:rPr>
                <w:rFonts w:ascii="Arial" w:cs="Arial" w:eastAsia="Arial" w:hAnsi="Arial"/>
                <w:sz w:val="18"/>
                <w:szCs w:val="18"/>
                <w:color w:val="auto"/>
                <w:w w:val="96"/>
              </w:rPr>
              <w:t>Form of Indemnification Agreement between Northern Technologies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EE"/>
            </w:tcBorders>
            <w:gridSpan w:val="18"/>
          </w:tcPr>
          <w:p>
            <w:pPr>
              <w:jc w:val="cente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to Exhibit 10.1 to NTIC’s Current Report on</w:t>
              </w:r>
            </w:hyperlink>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International Corporation and its Directors and Officers*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Borders>
              <w:bottom w:val="single" w:sz="8" w:color="0000EE"/>
            </w:tcBorders>
            <w:gridSpan w:val="5"/>
          </w:tcPr>
          <w:p>
            <w:pPr>
              <w:jc w:val="cente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October 23, 2019 (File No. 001-11038)</w:t>
              </w:r>
            </w:hyperlink>
          </w:p>
        </w:tc>
        <w:tc>
          <w:tcPr>
            <w:tcW w:w="1160" w:type="dxa"/>
            <w:vAlign w:val="bottom"/>
            <w:gridSpan w:val="7"/>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10.11</w:t>
            </w:r>
          </w:p>
        </w:tc>
        <w:tc>
          <w:tcPr>
            <w:tcW w:w="5360" w:type="dxa"/>
            <w:vAlign w:val="bottom"/>
          </w:tcPr>
          <w:p>
            <w:pPr>
              <w:ind w:left="120"/>
              <w:spacing w:after="0"/>
              <w:rPr>
                <w:sz w:val="20"/>
                <w:szCs w:val="20"/>
                <w:color w:val="auto"/>
              </w:rPr>
            </w:pPr>
            <w:r>
              <w:rPr>
                <w:rFonts w:ascii="Arial" w:cs="Arial" w:eastAsia="Arial" w:hAnsi="Arial"/>
                <w:sz w:val="18"/>
                <w:szCs w:val="18"/>
                <w:color w:val="auto"/>
                <w:w w:val="93"/>
              </w:rPr>
              <w:t>Agreement dated as of May 25, 2009 between Northern Technologies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8"/>
          </w:tcPr>
          <w:p>
            <w:pPr>
              <w:jc w:val="center"/>
              <w:ind w:right="60"/>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Incorporated by reference to Exhibit 10.2 to NTIC’s Quarterly Report</w:t>
              </w:r>
            </w:hyperlink>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International Corporation and Sunggyu Lee, Ph.D.*</w:t>
            </w:r>
          </w:p>
        </w:tc>
        <w:tc>
          <w:tcPr>
            <w:tcW w:w="5200" w:type="dxa"/>
            <w:vAlign w:val="bottom"/>
            <w:gridSpan w:val="21"/>
          </w:tcPr>
          <w:p>
            <w:pPr>
              <w:jc w:val="cente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on Form 10-Q for the fiscal quarter ended May 31, 2009 (File No. 001-</w:t>
              </w:r>
            </w:hyperlink>
          </w:p>
        </w:tc>
      </w:tr>
      <w:tr>
        <w:trPr>
          <w:trHeight w:val="196"/>
        </w:trPr>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20" w:type="dxa"/>
            <w:vAlign w:val="bottom"/>
            <w:tcBorders>
              <w:top w:val="single" w:sz="8" w:color="0000EE"/>
            </w:tcBorders>
            <w:gridSpan w:val="11"/>
          </w:tcPr>
          <w:p>
            <w:pPr>
              <w:jc w:val="center"/>
              <w:ind w:left="2230"/>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11038)</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5360" w:type="dxa"/>
            <w:vAlign w:val="bottom"/>
          </w:tcPr>
          <w:p>
            <w:pPr>
              <w:ind w:left="120"/>
              <w:spacing w:after="0"/>
              <w:rPr>
                <w:sz w:val="20"/>
                <w:szCs w:val="20"/>
                <w:color w:val="auto"/>
              </w:rPr>
            </w:pPr>
            <w:r>
              <w:rPr>
                <w:rFonts w:ascii="Arial" w:cs="Arial" w:eastAsia="Arial" w:hAnsi="Arial"/>
                <w:sz w:val="18"/>
                <w:szCs w:val="18"/>
                <w:color w:val="auto"/>
                <w:w w:val="95"/>
              </w:rPr>
              <w:t>Description of Non-Employee Director Compensation Arrangements*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9"/>
          </w:tcPr>
          <w:p>
            <w:pPr>
              <w:jc w:val="center"/>
              <w:ind w:right="40"/>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Incorporated by reference to Exhibit 10.9 to NTIC’s Annual Report on</w:t>
              </w:r>
            </w:hyperlink>
          </w:p>
        </w:tc>
      </w:tr>
      <w:tr>
        <w:trPr>
          <w:trHeight w:val="196"/>
        </w:trPr>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00" w:type="dxa"/>
            <w:vAlign w:val="bottom"/>
            <w:tcBorders>
              <w:top w:val="single" w:sz="8" w:color="0000EE"/>
              <w:bottom w:val="single" w:sz="8" w:color="0000EE"/>
            </w:tcBorders>
            <w:gridSpan w:val="11"/>
          </w:tcPr>
          <w:p>
            <w:pPr>
              <w:jc w:val="cente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10-K for the fiscal year ended August 31, 2018 (File No. 001-</w:t>
              </w:r>
            </w:hyperlink>
          </w:p>
        </w:tc>
        <w:tc>
          <w:tcPr>
            <w:tcW w:w="8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880" w:type="dxa"/>
            <w:vAlign w:val="bottom"/>
            <w:gridSpan w:val="12"/>
          </w:tcPr>
          <w:p>
            <w:pPr>
              <w:jc w:val="center"/>
              <w:ind w:left="2290"/>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11038)</w:t>
              </w:r>
            </w:hyperlink>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5360" w:type="dxa"/>
            <w:vAlign w:val="bottom"/>
          </w:tcPr>
          <w:p>
            <w:pPr>
              <w:ind w:left="120"/>
              <w:spacing w:after="0"/>
              <w:rPr>
                <w:sz w:val="20"/>
                <w:szCs w:val="20"/>
                <w:color w:val="auto"/>
              </w:rPr>
            </w:pPr>
            <w:r>
              <w:rPr>
                <w:rFonts w:ascii="Arial" w:cs="Arial" w:eastAsia="Arial" w:hAnsi="Arial"/>
                <w:sz w:val="18"/>
                <w:szCs w:val="18"/>
                <w:color w:val="auto"/>
                <w:w w:val="97"/>
              </w:rPr>
              <w:t>Executive Employment Agreement dated as of November 18, 2011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bottom w:val="single" w:sz="8" w:color="0000EE"/>
            </w:tcBorders>
            <w:gridSpan w:val="14"/>
          </w:tcPr>
          <w:p>
            <w:pPr>
              <w:jc w:val="cente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10.13 to NTIC’s Annual Report</w:t>
              </w:r>
            </w:hyperlink>
          </w:p>
        </w:tc>
        <w:tc>
          <w:tcPr>
            <w:tcW w:w="10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between Northern Technologies International Corporation and G.</w:t>
            </w:r>
          </w:p>
        </w:tc>
        <w:tc>
          <w:tcPr>
            <w:tcW w:w="60" w:type="dxa"/>
            <w:vAlign w:val="bottom"/>
          </w:tcPr>
          <w:p>
            <w:pPr>
              <w:spacing w:after="0"/>
              <w:rPr>
                <w:sz w:val="17"/>
                <w:szCs w:val="17"/>
                <w:color w:val="auto"/>
              </w:rPr>
            </w:pPr>
          </w:p>
        </w:tc>
        <w:tc>
          <w:tcPr>
            <w:tcW w:w="5140" w:type="dxa"/>
            <w:vAlign w:val="bottom"/>
            <w:gridSpan w:val="20"/>
          </w:tcPr>
          <w:p>
            <w:pPr>
              <w:jc w:val="center"/>
              <w:ind w:right="20"/>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on Form 10-K for the fiscal year ended August 31, 2011 (File No. 001-</w:t>
              </w:r>
            </w:hyperlink>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Patrick Lynch*</w:t>
            </w:r>
          </w:p>
        </w:tc>
        <w:tc>
          <w:tcPr>
            <w:tcW w:w="80" w:type="dxa"/>
            <w:vAlign w:val="bottom"/>
            <w:gridSpan w:val="2"/>
          </w:tcPr>
          <w:p>
            <w:pPr>
              <w:spacing w:after="0"/>
              <w:rPr>
                <w:sz w:val="17"/>
                <w:szCs w:val="17"/>
                <w:color w:val="auto"/>
              </w:rPr>
            </w:pPr>
          </w:p>
        </w:tc>
        <w:tc>
          <w:tcPr>
            <w:tcW w:w="2800" w:type="dxa"/>
            <w:vAlign w:val="bottom"/>
            <w:tcBorders>
              <w:top w:val="single" w:sz="8" w:color="0000EE"/>
            </w:tcBorders>
            <w:gridSpan w:val="10"/>
          </w:tcPr>
          <w:p>
            <w:pPr>
              <w:jc w:val="center"/>
              <w:ind w:left="2210"/>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11038)</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10.14</w:t>
            </w:r>
          </w:p>
        </w:tc>
        <w:tc>
          <w:tcPr>
            <w:tcW w:w="5360" w:type="dxa"/>
            <w:vAlign w:val="bottom"/>
          </w:tcPr>
          <w:p>
            <w:pPr>
              <w:ind w:left="120"/>
              <w:spacing w:after="0"/>
              <w:rPr>
                <w:sz w:val="20"/>
                <w:szCs w:val="20"/>
                <w:color w:val="auto"/>
              </w:rPr>
            </w:pPr>
            <w:r>
              <w:rPr>
                <w:rFonts w:ascii="Arial" w:cs="Arial" w:eastAsia="Arial" w:hAnsi="Arial"/>
                <w:sz w:val="18"/>
                <w:szCs w:val="18"/>
                <w:color w:val="auto"/>
                <w:w w:val="94"/>
              </w:rPr>
              <w:t>Confidential Information, Inventions Assignment, Noncompetition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17"/>
          </w:tcPr>
          <w:p>
            <w:pPr>
              <w:jc w:val="center"/>
              <w:ind w:right="100"/>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10.14 to NTIC’s Annual Report</w:t>
              </w:r>
            </w:hyperlink>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w w:val="95"/>
              </w:rPr>
              <w:t>Non-Solicitation Agreement dated as of November 18, 2011 between</w:t>
            </w:r>
          </w:p>
        </w:tc>
        <w:tc>
          <w:tcPr>
            <w:tcW w:w="60" w:type="dxa"/>
            <w:vAlign w:val="bottom"/>
          </w:tcPr>
          <w:p>
            <w:pPr>
              <w:spacing w:after="0"/>
              <w:rPr>
                <w:sz w:val="17"/>
                <w:szCs w:val="17"/>
                <w:color w:val="auto"/>
              </w:rPr>
            </w:pPr>
          </w:p>
        </w:tc>
        <w:tc>
          <w:tcPr>
            <w:tcW w:w="5140" w:type="dxa"/>
            <w:vAlign w:val="bottom"/>
            <w:gridSpan w:val="20"/>
          </w:tcPr>
          <w:p>
            <w:pPr>
              <w:jc w:val="center"/>
              <w:ind w:right="20"/>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on Form 10-K for the fiscal year ended August 31, 2011 (File No. 001-</w:t>
              </w:r>
            </w:hyperlink>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Northern Technologies International Corporation and G. Patrick</w:t>
            </w:r>
          </w:p>
        </w:tc>
        <w:tc>
          <w:tcPr>
            <w:tcW w:w="80" w:type="dxa"/>
            <w:vAlign w:val="bottom"/>
            <w:gridSpan w:val="2"/>
          </w:tcPr>
          <w:p>
            <w:pPr>
              <w:spacing w:after="0"/>
              <w:rPr>
                <w:sz w:val="17"/>
                <w:szCs w:val="17"/>
                <w:color w:val="auto"/>
              </w:rPr>
            </w:pPr>
          </w:p>
        </w:tc>
        <w:tc>
          <w:tcPr>
            <w:tcW w:w="2800" w:type="dxa"/>
            <w:vAlign w:val="bottom"/>
            <w:tcBorders>
              <w:top w:val="single" w:sz="8" w:color="0000EE"/>
            </w:tcBorders>
            <w:gridSpan w:val="10"/>
          </w:tcPr>
          <w:p>
            <w:pPr>
              <w:jc w:val="center"/>
              <w:ind w:left="2210"/>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11038)</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Lynch*</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5360" w:type="dxa"/>
            <w:vAlign w:val="bottom"/>
          </w:tcPr>
          <w:p>
            <w:pPr>
              <w:ind w:left="120"/>
              <w:spacing w:after="0"/>
              <w:rPr>
                <w:sz w:val="20"/>
                <w:szCs w:val="20"/>
                <w:color w:val="auto"/>
              </w:rPr>
            </w:pPr>
            <w:r>
              <w:rPr>
                <w:rFonts w:ascii="Arial" w:cs="Arial" w:eastAsia="Arial" w:hAnsi="Arial"/>
                <w:sz w:val="18"/>
                <w:szCs w:val="18"/>
                <w:color w:val="auto"/>
                <w:w w:val="97"/>
              </w:rPr>
              <w:t>Executive Employment Agreement dated as of November 18, 2011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17"/>
          </w:tcPr>
          <w:p>
            <w:pPr>
              <w:jc w:val="center"/>
              <w:ind w:right="100"/>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to Exhibit 10.15 to NTIC’s Annual Report</w:t>
              </w:r>
            </w:hyperlink>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w w:val="92"/>
              </w:rPr>
              <w:t>between Northern Technologies International Corporation and Matthew</w:t>
            </w:r>
          </w:p>
        </w:tc>
        <w:tc>
          <w:tcPr>
            <w:tcW w:w="60" w:type="dxa"/>
            <w:vAlign w:val="bottom"/>
          </w:tcPr>
          <w:p>
            <w:pPr>
              <w:spacing w:after="0"/>
              <w:rPr>
                <w:sz w:val="17"/>
                <w:szCs w:val="17"/>
                <w:color w:val="auto"/>
              </w:rPr>
            </w:pPr>
          </w:p>
        </w:tc>
        <w:tc>
          <w:tcPr>
            <w:tcW w:w="5140" w:type="dxa"/>
            <w:vAlign w:val="bottom"/>
            <w:gridSpan w:val="20"/>
          </w:tcPr>
          <w:p>
            <w:pPr>
              <w:jc w:val="center"/>
              <w:ind w:right="20"/>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on Form 10-K for the fiscal year ended August 31, 2011 (File No. 001-</w:t>
              </w:r>
            </w:hyperlink>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C. Wolsfeld*</w:t>
            </w:r>
          </w:p>
        </w:tc>
        <w:tc>
          <w:tcPr>
            <w:tcW w:w="80" w:type="dxa"/>
            <w:vAlign w:val="bottom"/>
            <w:gridSpan w:val="2"/>
          </w:tcPr>
          <w:p>
            <w:pPr>
              <w:spacing w:after="0"/>
              <w:rPr>
                <w:sz w:val="17"/>
                <w:szCs w:val="17"/>
                <w:color w:val="auto"/>
              </w:rPr>
            </w:pPr>
          </w:p>
        </w:tc>
        <w:tc>
          <w:tcPr>
            <w:tcW w:w="2800" w:type="dxa"/>
            <w:vAlign w:val="bottom"/>
            <w:tcBorders>
              <w:top w:val="single" w:sz="8" w:color="0000EE"/>
            </w:tcBorders>
            <w:gridSpan w:val="10"/>
          </w:tcPr>
          <w:p>
            <w:pPr>
              <w:jc w:val="center"/>
              <w:ind w:left="2210"/>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11038)</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5360" w:type="dxa"/>
            <w:vAlign w:val="bottom"/>
          </w:tcPr>
          <w:p>
            <w:pPr>
              <w:ind w:left="120"/>
              <w:spacing w:after="0"/>
              <w:rPr>
                <w:sz w:val="20"/>
                <w:szCs w:val="20"/>
                <w:color w:val="auto"/>
              </w:rPr>
            </w:pPr>
            <w:r>
              <w:rPr>
                <w:rFonts w:ascii="Arial" w:cs="Arial" w:eastAsia="Arial" w:hAnsi="Arial"/>
                <w:sz w:val="18"/>
                <w:szCs w:val="18"/>
                <w:color w:val="auto"/>
                <w:w w:val="94"/>
              </w:rPr>
              <w:t>Confidential Information, Inventions Assignment, Noncompetition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bottom w:val="single" w:sz="8" w:color="0000EE"/>
            </w:tcBorders>
            <w:gridSpan w:val="14"/>
          </w:tcPr>
          <w:p>
            <w:pPr>
              <w:jc w:val="cente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10.16 to NTIC’s Annual Report</w:t>
              </w:r>
            </w:hyperlink>
          </w:p>
        </w:tc>
        <w:tc>
          <w:tcPr>
            <w:tcW w:w="10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w w:val="95"/>
              </w:rPr>
              <w:t>Non-Solicitation Agreement dated as of November 18, 2011 between</w:t>
            </w:r>
          </w:p>
        </w:tc>
        <w:tc>
          <w:tcPr>
            <w:tcW w:w="60" w:type="dxa"/>
            <w:vAlign w:val="bottom"/>
          </w:tcPr>
          <w:p>
            <w:pPr>
              <w:spacing w:after="0"/>
              <w:rPr>
                <w:sz w:val="17"/>
                <w:szCs w:val="17"/>
                <w:color w:val="auto"/>
              </w:rPr>
            </w:pPr>
          </w:p>
        </w:tc>
        <w:tc>
          <w:tcPr>
            <w:tcW w:w="5140" w:type="dxa"/>
            <w:vAlign w:val="bottom"/>
            <w:gridSpan w:val="20"/>
          </w:tcPr>
          <w:p>
            <w:pPr>
              <w:jc w:val="center"/>
              <w:ind w:right="20"/>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on Form 10-K for the fiscal year ended August 31, 2011 (File No. 001-</w:t>
              </w:r>
            </w:hyperlink>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Northern Technologies International Corporation and Matthew C.</w:t>
            </w:r>
          </w:p>
        </w:tc>
        <w:tc>
          <w:tcPr>
            <w:tcW w:w="80" w:type="dxa"/>
            <w:vAlign w:val="bottom"/>
            <w:gridSpan w:val="2"/>
          </w:tcPr>
          <w:p>
            <w:pPr>
              <w:spacing w:after="0"/>
              <w:rPr>
                <w:sz w:val="17"/>
                <w:szCs w:val="17"/>
                <w:color w:val="auto"/>
              </w:rPr>
            </w:pPr>
          </w:p>
        </w:tc>
        <w:tc>
          <w:tcPr>
            <w:tcW w:w="2800" w:type="dxa"/>
            <w:vAlign w:val="bottom"/>
            <w:tcBorders>
              <w:top w:val="single" w:sz="8" w:color="0000EE"/>
            </w:tcBorders>
            <w:gridSpan w:val="10"/>
          </w:tcPr>
          <w:p>
            <w:pPr>
              <w:jc w:val="center"/>
              <w:ind w:left="2210"/>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11038)</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Wolsfeld*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10.17</w:t>
            </w:r>
          </w:p>
        </w:tc>
        <w:tc>
          <w:tcPr>
            <w:tcW w:w="5360" w:type="dxa"/>
            <w:vAlign w:val="bottom"/>
          </w:tcPr>
          <w:p>
            <w:pPr>
              <w:ind w:left="120"/>
              <w:spacing w:after="0"/>
              <w:rPr>
                <w:sz w:val="20"/>
                <w:szCs w:val="20"/>
                <w:color w:val="auto"/>
              </w:rPr>
            </w:pPr>
            <w:r>
              <w:rPr>
                <w:rFonts w:ascii="Arial" w:cs="Arial" w:eastAsia="Arial" w:hAnsi="Arial"/>
                <w:sz w:val="18"/>
                <w:szCs w:val="18"/>
                <w:color w:val="auto"/>
                <w:w w:val="93"/>
              </w:rPr>
              <w:t>Amended and Restated Loan Agreement dated as of August 31,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EE"/>
            </w:tcBorders>
            <w:gridSpan w:val="18"/>
          </w:tcPr>
          <w:p>
            <w:pPr>
              <w:jc w:val="cente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Incorporated by reference to Exhibit 10.1 to NTIC’s Current Report on</w:t>
              </w:r>
            </w:hyperlink>
          </w:p>
        </w:tc>
        <w:tc>
          <w:tcPr>
            <w:tcW w:w="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w w:val="94"/>
              </w:rPr>
              <w:t>by and between Northern Technologies International Corporation and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PNC Bank, National Association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80" w:type="dxa"/>
            <w:vAlign w:val="bottom"/>
            <w:gridSpan w:val="13"/>
          </w:tcPr>
          <w:p>
            <w:pPr>
              <w:jc w:val="center"/>
              <w:ind w:right="1080"/>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September 22, 2021 (File No. 001-11038)</w:t>
              </w:r>
            </w:hyperlink>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5360" w:type="dxa"/>
            <w:vAlign w:val="bottom"/>
          </w:tcPr>
          <w:p>
            <w:pPr>
              <w:ind w:left="120"/>
              <w:spacing w:after="0"/>
              <w:rPr>
                <w:sz w:val="20"/>
                <w:szCs w:val="20"/>
                <w:color w:val="auto"/>
              </w:rPr>
            </w:pPr>
            <w:r>
              <w:rPr>
                <w:rFonts w:ascii="Arial" w:cs="Arial" w:eastAsia="Arial" w:hAnsi="Arial"/>
                <w:sz w:val="18"/>
                <w:szCs w:val="18"/>
                <w:color w:val="auto"/>
                <w:w w:val="99"/>
              </w:rPr>
              <w:t>Amended and Restated Revolving Line of Credit Note dated as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EE"/>
            </w:tcBorders>
            <w:gridSpan w:val="18"/>
          </w:tcPr>
          <w:p>
            <w:pPr>
              <w:jc w:val="cente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Incorporated by reference to Exhibit 10.2 to NTIC’s Current Report on</w:t>
              </w:r>
            </w:hyperlink>
          </w:p>
        </w:tc>
        <w:tc>
          <w:tcPr>
            <w:tcW w:w="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August 31, 2021 issued by Northern Technologies International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2"/>
          </w:tcPr>
          <w:p>
            <w:pPr>
              <w:jc w:val="cente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Form 8-K as filed with the Securities and Exchange Commission on</w:t>
              </w:r>
            </w:hyperlink>
          </w:p>
        </w:tc>
        <w:tc>
          <w:tcPr>
            <w:tcW w:w="12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Corporation to PNC Bank, National Association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80" w:type="dxa"/>
            <w:vAlign w:val="bottom"/>
            <w:gridSpan w:val="13"/>
          </w:tcPr>
          <w:p>
            <w:pPr>
              <w:jc w:val="center"/>
              <w:ind w:right="1080"/>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September 22, 2021 (File No. 001-11038)</w:t>
              </w:r>
            </w:hyperlink>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10.19</w:t>
            </w:r>
          </w:p>
        </w:tc>
        <w:tc>
          <w:tcPr>
            <w:tcW w:w="5360" w:type="dxa"/>
            <w:vAlign w:val="bottom"/>
          </w:tcPr>
          <w:p>
            <w:pPr>
              <w:ind w:left="120"/>
              <w:spacing w:after="0"/>
              <w:rPr>
                <w:sz w:val="20"/>
                <w:szCs w:val="20"/>
                <w:color w:val="auto"/>
              </w:rPr>
            </w:pPr>
            <w:r>
              <w:rPr>
                <w:rFonts w:ascii="Arial" w:cs="Arial" w:eastAsia="Arial" w:hAnsi="Arial"/>
                <w:sz w:val="18"/>
                <w:szCs w:val="18"/>
                <w:color w:val="auto"/>
                <w:w w:val="92"/>
              </w:rPr>
              <w:t>Consulting Agreement dated January 11, 2017 by and among Northern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EE"/>
            </w:tcBorders>
            <w:gridSpan w:val="15"/>
          </w:tcPr>
          <w:p>
            <w:pPr>
              <w:jc w:val="cente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 Exhibit 10.2 to NTIC’s Quarterly Report</w:t>
              </w:r>
            </w:hyperlink>
          </w:p>
        </w:tc>
        <w:tc>
          <w:tcPr>
            <w:tcW w:w="10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w w:val="93"/>
              </w:rPr>
              <w:t>Technologies International Corporation, BioPlastic Polymers LLC, and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gridSpan w:val="15"/>
          </w:tcPr>
          <w:p>
            <w:pPr>
              <w:jc w:val="center"/>
              <w:ind w:right="140"/>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on Form 10-Q for the fiscal quarter ended November 30, 2016 (File</w:t>
              </w:r>
            </w:hyperlink>
          </w:p>
        </w:tc>
      </w:tr>
      <w:tr>
        <w:trPr>
          <w:trHeight w:val="196"/>
        </w:trPr>
        <w:tc>
          <w:tcPr>
            <w:tcW w:w="680" w:type="dxa"/>
            <w:vAlign w:val="bottom"/>
          </w:tcPr>
          <w:p>
            <w:pPr>
              <w:spacing w:after="0"/>
              <w:rPr>
                <w:sz w:val="17"/>
                <w:szCs w:val="17"/>
                <w:color w:val="auto"/>
              </w:rPr>
            </w:pPr>
          </w:p>
        </w:tc>
        <w:tc>
          <w:tcPr>
            <w:tcW w:w="5360" w:type="dxa"/>
            <w:vAlign w:val="bottom"/>
          </w:tcPr>
          <w:p>
            <w:pPr>
              <w:ind w:left="120"/>
              <w:spacing w:after="0" w:line="196" w:lineRule="exact"/>
              <w:rPr>
                <w:sz w:val="20"/>
                <w:szCs w:val="20"/>
                <w:color w:val="auto"/>
              </w:rPr>
            </w:pPr>
            <w:r>
              <w:rPr>
                <w:rFonts w:ascii="Arial" w:cs="Arial" w:eastAsia="Arial" w:hAnsi="Arial"/>
                <w:sz w:val="18"/>
                <w:szCs w:val="18"/>
                <w:color w:val="auto"/>
              </w:rPr>
              <w:t>Ramani Narayan, Ph.D.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gridSpan w:val="7"/>
          </w:tcPr>
          <w:p>
            <w:pPr>
              <w:jc w:val="center"/>
              <w:ind w:right="1000"/>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No. 001-11038)</w:t>
              </w:r>
            </w:hyperlink>
          </w:p>
        </w:tc>
        <w:tc>
          <w:tcPr>
            <w:tcW w:w="140" w:type="dxa"/>
            <w:vAlign w:val="bottom"/>
            <w:gridSpan w:val="5"/>
          </w:tcPr>
          <w:p>
            <w:pPr>
              <w:spacing w:after="0"/>
              <w:rPr>
                <w:sz w:val="17"/>
                <w:szCs w:val="17"/>
                <w:color w:val="auto"/>
              </w:rPr>
            </w:pPr>
          </w:p>
        </w:tc>
      </w:tr>
      <w:tr>
        <w:trPr>
          <w:trHeight w:val="480"/>
        </w:trPr>
        <w:tc>
          <w:tcPr>
            <w:tcW w:w="680" w:type="dxa"/>
            <w:vAlign w:val="bottom"/>
          </w:tcPr>
          <w:p>
            <w:pPr>
              <w:spacing w:after="0"/>
              <w:rPr>
                <w:sz w:val="24"/>
                <w:szCs w:val="24"/>
                <w:color w:val="auto"/>
              </w:rPr>
            </w:pPr>
          </w:p>
        </w:tc>
        <w:tc>
          <w:tcPr>
            <w:tcW w:w="5360" w:type="dxa"/>
            <w:vAlign w:val="bottom"/>
          </w:tcPr>
          <w:p>
            <w:pPr>
              <w:ind w:left="48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type w:val="continuous"/>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Item No.</w:t>
            </w:r>
          </w:p>
        </w:tc>
        <w:tc>
          <w:tcPr>
            <w:tcW w:w="12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1"/>
          </w:tcPr>
          <w:p>
            <w:pPr>
              <w:jc w:val="center"/>
              <w:ind w:right="1880"/>
              <w:spacing w:after="0"/>
              <w:rPr>
                <w:sz w:val="20"/>
                <w:szCs w:val="20"/>
                <w:color w:val="auto"/>
              </w:rPr>
            </w:pPr>
            <w:r>
              <w:rPr>
                <w:rFonts w:ascii="Arial" w:cs="Arial" w:eastAsia="Arial" w:hAnsi="Arial"/>
                <w:sz w:val="18"/>
                <w:szCs w:val="18"/>
                <w:b w:val="1"/>
                <w:bCs w:val="1"/>
                <w:color w:val="auto"/>
                <w:w w:val="92"/>
              </w:rPr>
              <w:t>Method of Filing</w:t>
            </w:r>
          </w:p>
        </w:tc>
      </w:tr>
      <w:tr>
        <w:trPr>
          <w:trHeight w:val="385"/>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2"/>
              </w:rPr>
              <w:t>Real Estate Purchase and Sales Contract dated July 7, 2021 between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3"/>
          </w:tcPr>
          <w:p>
            <w:pPr>
              <w:jc w:val="center"/>
              <w:ind w:right="60"/>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Incorporated by reference to Exhibit 10.1 to NTIC’s Quarterly Report</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NTIC (Shanghai) Co., Ltd. And Shanghai FASTO Investment Group</w:t>
            </w:r>
          </w:p>
        </w:tc>
        <w:tc>
          <w:tcPr>
            <w:tcW w:w="100" w:type="dxa"/>
            <w:vAlign w:val="bottom"/>
          </w:tcPr>
          <w:p>
            <w:pPr>
              <w:spacing w:after="0"/>
              <w:rPr>
                <w:sz w:val="17"/>
                <w:szCs w:val="17"/>
                <w:color w:val="auto"/>
              </w:rPr>
            </w:pPr>
          </w:p>
        </w:tc>
        <w:tc>
          <w:tcPr>
            <w:tcW w:w="5160" w:type="dxa"/>
            <w:vAlign w:val="bottom"/>
            <w:gridSpan w:val="16"/>
          </w:tcPr>
          <w:p>
            <w:pPr>
              <w:jc w:val="cente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on Form 8-K as filed with the Securities and Exchange Commission on</w:t>
              </w:r>
            </w:hyperlink>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Limited Company (Official Chinese Version)</w:t>
            </w:r>
          </w:p>
        </w:tc>
        <w:tc>
          <w:tcPr>
            <w:tcW w:w="1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460" w:type="dxa"/>
            <w:vAlign w:val="bottom"/>
            <w:tcBorders>
              <w:top w:val="single" w:sz="8" w:color="0000EE"/>
              <w:bottom w:val="single" w:sz="8" w:color="0000EE"/>
            </w:tcBorders>
            <w:gridSpan w:val="8"/>
          </w:tcPr>
          <w:p>
            <w:pPr>
              <w:jc w:val="cente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July 8, 2021 (File No. 001-11038)</w:t>
              </w:r>
            </w:hyperlink>
          </w:p>
        </w:tc>
        <w:tc>
          <w:tcPr>
            <w:tcW w:w="13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Unofficial English Summary of Real Estate Purchase and Sales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0"/>
          </w:tcPr>
          <w:p>
            <w:pPr>
              <w:jc w:val="cente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Incorporated by reference to Exhibit 10.2 to NTIC’s Quarterly Report</w:t>
              </w:r>
            </w:hyperlink>
          </w:p>
        </w:tc>
        <w:tc>
          <w:tcPr>
            <w:tcW w:w="6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Contract dated July 7, 2021 between NTIC (Shanghai) Co., Ltd. and</w:t>
            </w:r>
          </w:p>
        </w:tc>
        <w:tc>
          <w:tcPr>
            <w:tcW w:w="100" w:type="dxa"/>
            <w:vAlign w:val="bottom"/>
          </w:tcPr>
          <w:p>
            <w:pPr>
              <w:spacing w:after="0"/>
              <w:rPr>
                <w:sz w:val="17"/>
                <w:szCs w:val="17"/>
                <w:color w:val="auto"/>
              </w:rPr>
            </w:pPr>
          </w:p>
        </w:tc>
        <w:tc>
          <w:tcPr>
            <w:tcW w:w="5160" w:type="dxa"/>
            <w:vAlign w:val="bottom"/>
            <w:gridSpan w:val="16"/>
          </w:tcPr>
          <w:p>
            <w:pPr>
              <w:jc w:val="cente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on Form 8-K as filed with the Securities and Exchange Commission on</w:t>
              </w:r>
            </w:hyperlink>
          </w:p>
        </w:tc>
      </w:tr>
      <w:tr>
        <w:trPr>
          <w:trHeight w:val="196"/>
        </w:trPr>
        <w:tc>
          <w:tcPr>
            <w:tcW w:w="680" w:type="dxa"/>
            <w:vAlign w:val="bottom"/>
          </w:tcPr>
          <w:p>
            <w:pPr>
              <w:spacing w:after="0"/>
              <w:rPr>
                <w:sz w:val="17"/>
                <w:szCs w:val="17"/>
                <w:color w:val="auto"/>
              </w:rPr>
            </w:pPr>
          </w:p>
        </w:tc>
        <w:tc>
          <w:tcPr>
            <w:tcW w:w="5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Shanghai FASTO Investment Group Limited Company</w:t>
            </w:r>
          </w:p>
        </w:tc>
        <w:tc>
          <w:tcPr>
            <w:tcW w:w="1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gridSpan w:val="11"/>
          </w:tcPr>
          <w:p>
            <w:pPr>
              <w:jc w:val="center"/>
              <w:ind w:right="1320"/>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July 8, 2021 (File No. 001-11038)</w:t>
              </w:r>
            </w:hyperlink>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Code of Ethics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4"/>
          </w:tcPr>
          <w:p>
            <w:pPr>
              <w:jc w:val="center"/>
              <w:ind w:right="40"/>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to Exhibit 14.1 to NTIC’s Annual Report on</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EE"/>
            </w:tcBorders>
            <w:gridSpan w:val="14"/>
          </w:tcPr>
          <w:p>
            <w:pPr>
              <w:jc w:val="cente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Form 10-KSB for the fiscal year ended August 31, 2004 (File No. 001-</w:t>
              </w:r>
            </w:hyperlink>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940" w:type="dxa"/>
            <w:vAlign w:val="bottom"/>
            <w:gridSpan w:val="9"/>
          </w:tcPr>
          <w:p>
            <w:pPr>
              <w:jc w:val="center"/>
              <w:ind w:left="2350"/>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11038)</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Subsidiaries of the Registrant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0"/>
          </w:tcPr>
          <w:p>
            <w:pPr>
              <w:jc w:val="center"/>
              <w:ind w:right="2060"/>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Filed herewith</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Consent of Baker Tilly US, LLP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0"/>
          </w:tcPr>
          <w:p>
            <w:pPr>
              <w:jc w:val="center"/>
              <w:ind w:right="2060"/>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Filed herewith</w:t>
              </w:r>
            </w:hyperlink>
          </w:p>
        </w:tc>
      </w:tr>
      <w:tr>
        <w:trPr>
          <w:trHeight w:val="20"/>
        </w:trPr>
        <w:tc>
          <w:tcPr>
            <w:tcW w:w="6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of President and Chief Executive Officer Pursuant to SEC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0"/>
          </w:tcPr>
          <w:p>
            <w:pPr>
              <w:jc w:val="center"/>
              <w:ind w:right="2060"/>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Filed herewith</w:t>
              </w:r>
            </w:hyperlink>
          </w:p>
        </w:tc>
      </w:tr>
      <w:tr>
        <w:trPr>
          <w:trHeight w:val="222"/>
        </w:trPr>
        <w:tc>
          <w:tcPr>
            <w:tcW w:w="6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3"/>
              </w:rPr>
              <w:t>Rule 13a-14(a), as adopted pursuant to Section 302 of the Sarbanes-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Oxley Act of 2002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9"/>
              </w:rPr>
              <w:t>Certification of Chief Financial Officer Pursuant to SEC Rule 13a-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0"/>
          </w:tcPr>
          <w:p>
            <w:pPr>
              <w:jc w:val="center"/>
              <w:ind w:right="2060"/>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Filed herewith</w:t>
              </w:r>
            </w:hyperlink>
          </w:p>
        </w:tc>
      </w:tr>
      <w:tr>
        <w:trPr>
          <w:trHeight w:val="222"/>
        </w:trPr>
        <w:tc>
          <w:tcPr>
            <w:tcW w:w="6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0"/>
              </w:rPr>
              <w:t>14(a), as adopted pursuant to Section 302 of the Sarbanes-Oxley Act of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of President and Chief Executive Officer Pursuant to Rule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gridSpan w:val="11"/>
          </w:tcPr>
          <w:p>
            <w:pPr>
              <w:jc w:val="center"/>
              <w:ind w:right="1880"/>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Furnished herewith</w:t>
              </w:r>
            </w:hyperlink>
          </w:p>
        </w:tc>
      </w:tr>
      <w:tr>
        <w:trPr>
          <w:trHeight w:val="222"/>
        </w:trPr>
        <w:tc>
          <w:tcPr>
            <w:tcW w:w="6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6"/>
              </w:rPr>
              <w:t>18 U.S.C. Section 1350, as adopted pursuant to Section 906 of the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Sarbanes-Oxley Act of 2002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9"/>
              </w:rPr>
              <w:t>Certification of Chief Financial Officer Pursuant to Rule 18 U.S.C.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gridSpan w:val="11"/>
          </w:tcPr>
          <w:p>
            <w:pPr>
              <w:jc w:val="center"/>
              <w:ind w:right="1880"/>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Furnished herewith</w:t>
              </w:r>
            </w:hyperlink>
          </w:p>
        </w:tc>
      </w:tr>
      <w:tr>
        <w:trPr>
          <w:trHeight w:val="222"/>
        </w:trPr>
        <w:tc>
          <w:tcPr>
            <w:tcW w:w="6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6"/>
              </w:rPr>
              <w:t>Section 1350, as adopted pursuant to Section 906 of the Sarbanes-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Oxley Act of 2002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9"/>
              </w:rPr>
              <w:t>The following materials from Northern Technologies International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0"/>
          </w:tcPr>
          <w:p>
            <w:pPr>
              <w:jc w:val="center"/>
              <w:ind w:right="2060"/>
              <w:spacing w:after="0"/>
              <w:rPr>
                <w:sz w:val="20"/>
                <w:szCs w:val="20"/>
                <w:color w:val="auto"/>
              </w:rPr>
            </w:pPr>
            <w:r>
              <w:rPr>
                <w:rFonts w:ascii="Arial" w:cs="Arial" w:eastAsia="Arial" w:hAnsi="Arial"/>
                <w:sz w:val="18"/>
                <w:szCs w:val="18"/>
                <w:color w:val="auto"/>
                <w:w w:val="92"/>
              </w:rPr>
              <w:t>Filed herewith</w:t>
            </w: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5"/>
              </w:rPr>
              <w:t>Corporation’s Annual Report on Form 10-K for the fiscal year ended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August 31, 2021, formatted in Inline XBRL (Extensible Business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8"/>
              </w:rPr>
              <w:t>Reporting Language): (i) the Consolidated Balance Sheets, (ii) the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Consolidated Statements of Operations, (iii) the Consolidated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6"/>
              </w:rPr>
              <w:t>Statements of Comprehensive Income (Loss), (iv) the Consolidated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w w:val="92"/>
              </w:rPr>
              <w:t>Statements of Equity, (v) the Consolidated Statements of Cash Flows,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and (vi) Notes to Consolidated Financial Statements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Cover Page Interactive Data File (formatted as Inline XBRL and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0" w:type="dxa"/>
            <w:vAlign w:val="bottom"/>
            <w:gridSpan w:val="12"/>
          </w:tcPr>
          <w:p>
            <w:pPr>
              <w:jc w:val="center"/>
              <w:ind w:right="1360"/>
              <w:spacing w:after="0"/>
              <w:rPr>
                <w:sz w:val="20"/>
                <w:szCs w:val="20"/>
                <w:color w:val="auto"/>
              </w:rPr>
            </w:pPr>
            <w:r>
              <w:rPr>
                <w:rFonts w:ascii="Arial" w:cs="Arial" w:eastAsia="Arial" w:hAnsi="Arial"/>
                <w:sz w:val="18"/>
                <w:szCs w:val="18"/>
                <w:color w:val="auto"/>
                <w:w w:val="92"/>
              </w:rPr>
              <w:t>Contained in Exhibit 101</w:t>
            </w:r>
          </w:p>
        </w:tc>
      </w:tr>
      <w:tr>
        <w:trPr>
          <w:trHeight w:val="230"/>
        </w:trPr>
        <w:tc>
          <w:tcPr>
            <w:tcW w:w="68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contained in Exhibit 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00" w:type="dxa"/>
            <w:vAlign w:val="bottom"/>
            <w:gridSpan w:val="3"/>
          </w:tcPr>
          <w:p>
            <w:pPr>
              <w:ind w:left="208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November 19, 2021</w:t>
            </w:r>
          </w:p>
        </w:tc>
        <w:tc>
          <w:tcPr>
            <w:tcW w:w="7600" w:type="dxa"/>
            <w:vAlign w:val="bottom"/>
            <w:gridSpan w:val="3"/>
          </w:tcPr>
          <w:p>
            <w:pPr>
              <w:ind w:left="2080"/>
              <w:spacing w:after="0"/>
              <w:rPr>
                <w:sz w:val="20"/>
                <w:szCs w:val="20"/>
                <w:color w:val="auto"/>
              </w:rPr>
            </w:pPr>
            <w:r>
              <w:rPr>
                <w:rFonts w:ascii="Arial" w:cs="Arial" w:eastAsia="Arial" w:hAnsi="Arial"/>
                <w:sz w:val="18"/>
                <w:szCs w:val="18"/>
                <w:color w:val="auto"/>
              </w:rPr>
              <w:t>By: /s/ G. Patrick Lynch</w:t>
            </w:r>
          </w:p>
        </w:tc>
      </w:tr>
      <w:tr>
        <w:trPr>
          <w:trHeight w:val="20"/>
        </w:trPr>
        <w:tc>
          <w:tcPr>
            <w:tcW w:w="3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7600" w:type="dxa"/>
            <w:vAlign w:val="bottom"/>
            <w:gridSpan w:val="3"/>
          </w:tcPr>
          <w:p>
            <w:pPr>
              <w:ind w:left="2080"/>
              <w:spacing w:after="0"/>
              <w:rPr>
                <w:sz w:val="20"/>
                <w:szCs w:val="20"/>
                <w:color w:val="auto"/>
              </w:rPr>
            </w:pPr>
            <w:r>
              <w:rPr>
                <w:rFonts w:ascii="Arial" w:cs="Arial" w:eastAsia="Arial" w:hAnsi="Arial"/>
                <w:sz w:val="18"/>
                <w:szCs w:val="18"/>
                <w:color w:val="auto"/>
              </w:rPr>
              <w:t>G. Patrick Lynch</w:t>
            </w:r>
          </w:p>
        </w:tc>
      </w:tr>
      <w:tr>
        <w:trPr>
          <w:trHeight w:val="230"/>
        </w:trPr>
        <w:tc>
          <w:tcPr>
            <w:tcW w:w="3540" w:type="dxa"/>
            <w:vAlign w:val="bottom"/>
          </w:tcPr>
          <w:p>
            <w:pPr>
              <w:spacing w:after="0"/>
              <w:rPr>
                <w:sz w:val="20"/>
                <w:szCs w:val="20"/>
                <w:color w:val="auto"/>
              </w:rPr>
            </w:pPr>
          </w:p>
        </w:tc>
        <w:tc>
          <w:tcPr>
            <w:tcW w:w="7600" w:type="dxa"/>
            <w:vAlign w:val="bottom"/>
            <w:gridSpan w:val="3"/>
          </w:tcPr>
          <w:p>
            <w:pPr>
              <w:ind w:left="208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11"/>
        </w:trPr>
        <w:tc>
          <w:tcPr>
            <w:tcW w:w="3720" w:type="dxa"/>
            <w:vAlign w:val="bottom"/>
          </w:tcPr>
          <w:p>
            <w:pPr>
              <w:spacing w:after="0"/>
              <w:rPr>
                <w:sz w:val="20"/>
                <w:szCs w:val="20"/>
                <w:color w:val="auto"/>
              </w:rPr>
            </w:pPr>
            <w:r>
              <w:rPr>
                <w:rFonts w:ascii="Arial" w:cs="Arial" w:eastAsia="Arial" w:hAnsi="Arial"/>
                <w:sz w:val="18"/>
                <w:szCs w:val="18"/>
                <w:color w:val="auto"/>
              </w:rPr>
              <w:t>/s/ G. Patrick Lynch</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 and</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17"/>
        </w:trPr>
        <w:tc>
          <w:tcPr>
            <w:tcW w:w="3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G. Patrick Lynch</w:t>
            </w:r>
          </w:p>
        </w:tc>
        <w:tc>
          <w:tcPr>
            <w:tcW w:w="1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 CPA</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4"/>
              </w:rPr>
              <w:t>Chief Financial Officer and Corporate Secretary</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Matthew C. Wolsfeld, CPA</w:t>
            </w:r>
          </w:p>
        </w:tc>
        <w:tc>
          <w:tcPr>
            <w:tcW w:w="1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 Nigon</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Richard J. Nigon</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E. Calderon</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Nancy E. Calderon</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E. Kemp</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Sarah E. Kemp</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Sunggyu Lee, Ph.D.</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Sunggyu Lee, Ph.D.</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Ramani Narayan, Ph. D.</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Ramani Narayan, Ph.D.</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8"/>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Konstantin von Falkenhausen</w:t>
            </w:r>
          </w:p>
        </w:tc>
        <w:tc>
          <w:tcPr>
            <w:tcW w:w="1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19, 2021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Konstantin von Falkenhausen</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850"/>
        </w:trPr>
        <w:tc>
          <w:tcPr>
            <w:tcW w:w="3720" w:type="dxa"/>
            <w:vAlign w:val="bottom"/>
          </w:tcPr>
          <w:p>
            <w:pPr>
              <w:spacing w:after="0"/>
              <w:rPr>
                <w:sz w:val="24"/>
                <w:szCs w:val="24"/>
                <w:color w:val="auto"/>
              </w:rPr>
            </w:pPr>
          </w:p>
        </w:tc>
        <w:tc>
          <w:tcPr>
            <w:tcW w:w="3720" w:type="dxa"/>
            <w:vAlign w:val="bottom"/>
            <w:gridSpan w:val="2"/>
          </w:tcPr>
          <w:p>
            <w:pPr>
              <w:jc w:val="right"/>
              <w:ind w:right="16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ind w:left="17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3"/>
          </w:tcPr>
          <w:p>
            <w:pPr>
              <w:ind w:left="112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20" w:type="dxa"/>
            <w:vAlign w:val="bottom"/>
          </w:tcPr>
          <w:p>
            <w:pPr>
              <w:ind w:left="660"/>
              <w:spacing w:after="0"/>
              <w:rPr>
                <w:sz w:val="20"/>
                <w:szCs w:val="20"/>
                <w:color w:val="auto"/>
              </w:rPr>
            </w:pPr>
            <w:r>
              <w:rPr>
                <w:rFonts w:ascii="Arial" w:cs="Arial" w:eastAsia="Arial" w:hAnsi="Arial"/>
                <w:sz w:val="18"/>
                <w:szCs w:val="18"/>
                <w:b w:val="1"/>
                <w:bCs w:val="1"/>
                <w:color w:val="auto"/>
              </w:rPr>
              <w:t>Name of Subsidiary</w:t>
            </w:r>
          </w:p>
        </w:tc>
        <w:tc>
          <w:tcPr>
            <w:tcW w:w="14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c>
          <w:tcPr>
            <w:tcW w:w="10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8"/>
                <w:szCs w:val="18"/>
                <w:b w:val="1"/>
                <w:bCs w:val="1"/>
                <w:color w:val="auto"/>
              </w:rPr>
              <w:t>Ownership Interest</w:t>
            </w:r>
          </w:p>
        </w:tc>
        <w:tc>
          <w:tcPr>
            <w:tcW w:w="12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Names Under Which Subsidiary</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Does Business</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NTI ASEAN LLC</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Holding</w:t>
            </w:r>
          </w:p>
        </w:tc>
        <w:tc>
          <w:tcPr>
            <w:tcW w:w="140" w:type="dxa"/>
            <w:vAlign w:val="bottom"/>
            <w:shd w:val="clear" w:color="auto" w:fill="CCEEFF"/>
          </w:tcPr>
          <w:p>
            <w:pPr>
              <w:spacing w:after="0"/>
              <w:rPr>
                <w:sz w:val="17"/>
                <w:szCs w:val="17"/>
                <w:color w:val="auto"/>
              </w:rPr>
            </w:pPr>
          </w:p>
        </w:tc>
        <w:tc>
          <w:tcPr>
            <w:tcW w:w="2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2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1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Natur Tec Lanka (Pvt) Ltd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Sri Lanka</w:t>
            </w:r>
            <w:r>
              <w:rPr>
                <w:rFonts w:ascii="Arial" w:cs="Arial" w:eastAsia="Arial" w:hAnsi="Arial"/>
                <w:sz w:val="25"/>
                <w:szCs w:val="25"/>
                <w:color w:val="auto"/>
                <w:w w:val="99"/>
                <w:vertAlign w:val="superscript"/>
              </w:rPr>
              <w:t>(1)</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Zerust Prevenção de Corrosão S.A.</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ZERUST-EXCOR MEXICO, S. de</w:t>
            </w:r>
          </w:p>
        </w:tc>
        <w:tc>
          <w:tcPr>
            <w:tcW w:w="140" w:type="dxa"/>
            <w:vAlign w:val="bottom"/>
            <w:shd w:val="clear" w:color="auto" w:fill="CCEEFF"/>
          </w:tcPr>
          <w:p>
            <w:pPr>
              <w:spacing w:after="0"/>
              <w:rPr>
                <w:sz w:val="17"/>
                <w:szCs w:val="17"/>
                <w:color w:val="auto"/>
              </w:rPr>
            </w:pPr>
          </w:p>
        </w:tc>
        <w:tc>
          <w:tcPr>
            <w:tcW w:w="2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Mexico</w:t>
            </w:r>
          </w:p>
        </w:tc>
        <w:tc>
          <w:tcPr>
            <w:tcW w:w="2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R.L. de C.V</w:t>
            </w:r>
          </w:p>
        </w:tc>
        <w:tc>
          <w:tcPr>
            <w:tcW w:w="1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8"/>
              </w:rPr>
              <w:t>Singapore</w:t>
            </w:r>
            <w:r>
              <w:rPr>
                <w:rFonts w:ascii="Arial" w:cs="Arial" w:eastAsia="Arial" w:hAnsi="Arial"/>
                <w:sz w:val="25"/>
                <w:szCs w:val="25"/>
                <w:color w:val="auto"/>
                <w:w w:val="98"/>
                <w:vertAlign w:val="superscript"/>
              </w:rPr>
              <w:t>(2)</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Vietnam</w:t>
            </w:r>
            <w:r>
              <w:rPr>
                <w:rFonts w:ascii="Arial" w:cs="Arial" w:eastAsia="Arial" w:hAnsi="Arial"/>
                <w:sz w:val="25"/>
                <w:szCs w:val="25"/>
                <w:color w:val="auto"/>
                <w:vertAlign w:val="superscript"/>
              </w:rPr>
              <w:t>(2)</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Harita-NTI Limited</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right="700" w:hanging="8"/>
        <w:spacing w:after="0" w:line="194" w:lineRule="auto"/>
        <w:tabs>
          <w:tab w:leader="none" w:pos="1594"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Natur Tec Lanka (Pvt) Ltd. is 100% owned by Natur-Tec India Private Limited and, therefore, indirectly owned by Northern Technologies International Corporation.</w:t>
      </w:r>
    </w:p>
    <w:p>
      <w:pPr>
        <w:ind w:left="160" w:right="520" w:hanging="8"/>
        <w:spacing w:after="0" w:line="187" w:lineRule="auto"/>
        <w:tabs>
          <w:tab w:leader="none" w:pos="1587"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Zerust Singapore Pte Ltd and Zerust Vietnam Co. Ltd are 100% owned by NTI Asean LLC and, therefore, indirectly owned by Northern Technologies International Corporation.</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S-8 (File No. 333-140244, 333-140245, 333-171828, 333-229391, and 333-252197) of Northern Technologies International Corporation and Subsidiaries of our report dated November 19, 2021, relating to the consolidated financial statements, which appears on page 56 of this annual report on Form 10-K for the year ended August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ind w:right="40" w:firstLine="8"/>
        <w:spacing w:after="0" w:line="342"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 w:firstLine="8"/>
        <w:spacing w:after="0" w:line="263"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20" w:right="220" w:firstLine="8"/>
        <w:spacing w:after="0" w:line="263" w:lineRule="auto"/>
        <w:tabs>
          <w:tab w:leader="none" w:pos="14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20" w:right="240" w:firstLine="8"/>
        <w:spacing w:after="0" w:line="263" w:lineRule="auto"/>
        <w:tabs>
          <w:tab w:leader="none" w:pos="14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20" w:right="80" w:firstLine="8"/>
        <w:spacing w:after="0" w:line="342" w:lineRule="auto"/>
        <w:tabs>
          <w:tab w:leader="none" w:pos="1459"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20" w:right="40" w:firstLine="8"/>
        <w:spacing w:after="0" w:line="263" w:lineRule="auto"/>
        <w:tabs>
          <w:tab w:leader="none" w:pos="14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340" w:firstLine="8"/>
        <w:spacing w:after="0" w:line="308" w:lineRule="auto"/>
        <w:tabs>
          <w:tab w:leader="none" w:pos="14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20" w:right="20" w:firstLine="8"/>
        <w:spacing w:after="0" w:line="277" w:lineRule="auto"/>
        <w:tabs>
          <w:tab w:leader="none" w:pos="142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November 19, 2021</w:t>
            </w:r>
          </w:p>
        </w:tc>
        <w:tc>
          <w:tcPr>
            <w:tcW w:w="2740" w:type="dxa"/>
            <w:vAlign w:val="bottom"/>
            <w:gridSpan w:val="2"/>
          </w:tcPr>
          <w:p>
            <w:pPr>
              <w:spacing w:after="0"/>
              <w:rPr>
                <w:sz w:val="20"/>
                <w:szCs w:val="20"/>
                <w:color w:val="auto"/>
              </w:rPr>
            </w:pPr>
            <w:r>
              <w:rPr>
                <w:rFonts w:ascii="Arial" w:cs="Arial" w:eastAsia="Arial" w:hAnsi="Arial"/>
                <w:sz w:val="18"/>
                <w:szCs w:val="18"/>
                <w:color w:val="auto"/>
              </w:rPr>
              <w:t>/s/ G. Patrick Lynch</w:t>
            </w:r>
          </w:p>
        </w:tc>
      </w:tr>
      <w:tr>
        <w:trPr>
          <w:trHeight w:val="222"/>
        </w:trPr>
        <w:tc>
          <w:tcPr>
            <w:tcW w:w="562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c>
          <w:tcPr>
            <w:tcW w:w="13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56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720" w:hanging="71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ind w:right="40" w:firstLine="8"/>
        <w:spacing w:after="0" w:line="342"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60" w:firstLine="8"/>
        <w:spacing w:after="0" w:line="263" w:lineRule="auto"/>
        <w:tabs>
          <w:tab w:leader="none" w:pos="7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720" w:right="220" w:firstLine="8"/>
        <w:spacing w:after="0" w:line="263" w:lineRule="auto"/>
        <w:tabs>
          <w:tab w:leader="none" w:pos="12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20" w:right="120" w:firstLine="8"/>
        <w:spacing w:after="0" w:line="263"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20" w:right="260" w:firstLine="8"/>
        <w:spacing w:after="0" w:line="342" w:lineRule="auto"/>
        <w:tabs>
          <w:tab w:leader="none" w:pos="1279"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20" w:right="220" w:firstLine="8"/>
        <w:spacing w:after="0" w:line="263"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8" w:lineRule="auto"/>
        <w:tabs>
          <w:tab w:leader="none" w:pos="7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460" w:firstLine="8"/>
        <w:spacing w:after="0" w:line="308" w:lineRule="auto"/>
        <w:tabs>
          <w:tab w:leader="none" w:pos="1279"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720" w:right="140" w:firstLine="8"/>
        <w:spacing w:after="0" w:line="277"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November 19, 2021</w:t>
            </w:r>
          </w:p>
        </w:tc>
        <w:tc>
          <w:tcPr>
            <w:tcW w:w="3480" w:type="dxa"/>
            <w:vAlign w:val="bottom"/>
            <w:gridSpan w:val="2"/>
          </w:tcPr>
          <w:p>
            <w:pPr>
              <w:spacing w:after="0"/>
              <w:rPr>
                <w:sz w:val="20"/>
                <w:szCs w:val="20"/>
                <w:color w:val="auto"/>
              </w:rPr>
            </w:pPr>
            <w:r>
              <w:rPr>
                <w:rFonts w:ascii="Arial" w:cs="Arial" w:eastAsia="Arial" w:hAnsi="Arial"/>
                <w:sz w:val="18"/>
                <w:szCs w:val="18"/>
                <w:color w:val="auto"/>
              </w:rPr>
              <w:t>/s/ Matthew C. Wolsfeld, CPA</w:t>
            </w:r>
          </w:p>
        </w:tc>
      </w:tr>
      <w:tr>
        <w:trPr>
          <w:trHeight w:val="222"/>
        </w:trPr>
        <w:tc>
          <w:tcPr>
            <w:tcW w:w="5620" w:type="dxa"/>
            <w:vAlign w:val="bottom"/>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13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1"/>
              </w:rPr>
              <w:t>Chief Financial Officer and Corporate Secretary</w:t>
            </w:r>
          </w:p>
        </w:tc>
      </w:tr>
      <w:tr>
        <w:trPr>
          <w:trHeight w:val="230"/>
        </w:trPr>
        <w:tc>
          <w:tcPr>
            <w:tcW w:w="56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2021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880" w:hanging="31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700" w:hanging="31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G. Patrick Lynch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2021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880" w:hanging="31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700" w:hanging="319"/>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Matthew C. Wolsfeld, CPA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C. Wolsfeld, CPA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upperLetter"/>
      <w:start w:val="35"/>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amp;"/>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1."/>
      <w:numFmt w:val="decimal"/>
      <w:start w:val="3"/>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decimal"/>
      <w:start w:val="7"/>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10"/>
    </w:lvl>
  </w:abstractNum>
  <w:abstractNum w:abstractNumId="29">
    <w:nsid w:val="77465F01"/>
    <w:multiLevelType w:val="hybridMultilevel"/>
    <w:lvl w:ilvl="0">
      <w:lvlJc w:val="left"/>
      <w:lvlText w:val="%1."/>
      <w:numFmt w:val="decimal"/>
      <w:start w:val="11"/>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1."/>
      <w:numFmt w:val="decimal"/>
      <w:start w:val="14"/>
    </w:lvl>
  </w:abstractNum>
  <w:abstractNum w:abstractNumId="33">
    <w:nsid w:val="5E884ADC"/>
    <w:multiLevelType w:val="hybridMultilevel"/>
    <w:lvl w:ilvl="0">
      <w:lvlJc w:val="left"/>
      <w:lvlText w:val="%1."/>
      <w:numFmt w:val="decimal"/>
      <w:start w:val="15"/>
    </w:lvl>
  </w:abstractNum>
  <w:abstractNum w:abstractNumId="34">
    <w:nsid w:val="51EAD36B"/>
    <w:multiLevelType w:val="hybridMultilevel"/>
    <w:lvl w:ilvl="0">
      <w:lvlJc w:val="left"/>
      <w:lvlText w:val="%1."/>
      <w:numFmt w:val="decimal"/>
      <w:start w:val="17"/>
    </w:lvl>
  </w:abstractNum>
  <w:abstractNum w:abstractNumId="35">
    <w:nsid w:val="2D517796"/>
    <w:multiLevelType w:val="hybridMultilevel"/>
    <w:lvl w:ilvl="0">
      <w:lvlJc w:val="left"/>
      <w:lvlText w:val="%1."/>
      <w:numFmt w:val="decimal"/>
      <w:start w:val="18"/>
    </w:lvl>
  </w:abstractNum>
  <w:abstractNum w:abstractNumId="36">
    <w:nsid w:val="580BD78F"/>
    <w:multiLevelType w:val="hybridMultilevel"/>
    <w:lvl w:ilvl="0">
      <w:lvlJc w:val="left"/>
      <w:lvlText w:val="(%1)"/>
      <w:numFmt w:val="lowerRoman"/>
      <w:start w:val="3"/>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107"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92" Type="http://schemas.openxmlformats.org/officeDocument/2006/relationships/hyperlink" Target="http://www.sec.gov/Archives/edgar/data/875582/000110465909023948/a09-9916_1ex3d1.htm" TargetMode="External"/><Relationship Id="rId93" Type="http://schemas.openxmlformats.org/officeDocument/2006/relationships/hyperlink" Target="http://www.sec.gov/Archives/edgar/data/875582/000117184318000379/exh_31.htm" TargetMode="External"/><Relationship Id="rId94" Type="http://schemas.openxmlformats.org/officeDocument/2006/relationships/hyperlink" Target="http://www.sec.gov/Archives/edgar/data/875582/000117184319000517/exh_31.htm" TargetMode="External"/><Relationship Id="rId95" Type="http://schemas.openxmlformats.org/officeDocument/2006/relationships/hyperlink" Target="http://www.sec.gov/Archives/edgar/data/875582/000110465908072542/a08-29098_1ex3d1.htm" TargetMode="External"/><Relationship Id="rId96" Type="http://schemas.openxmlformats.org/officeDocument/2006/relationships/hyperlink" Target="http://www.sec.gov/Archives/edgar/data/0000875582/000117184320007980/exh_42.htm" TargetMode="External"/><Relationship Id="rId98" Type="http://schemas.openxmlformats.org/officeDocument/2006/relationships/hyperlink" Target="http://www.sec.gov/Archives/edgar/data/875582/000117184321000288/exh_101.htm" TargetMode="External"/><Relationship Id="rId99" Type="http://schemas.openxmlformats.org/officeDocument/2006/relationships/hyperlink" Target="http://www.sec.gov/Archives/edgar/data/875582/000117184319000517/exh_102.htm" TargetMode="External"/><Relationship Id="rId100" Type="http://schemas.openxmlformats.org/officeDocument/2006/relationships/hyperlink" Target="http://www.sec.gov/Archives/edgar/data/875582/000117184319000517/exh_103.htm" TargetMode="External"/><Relationship Id="rId101" Type="http://schemas.openxmlformats.org/officeDocument/2006/relationships/hyperlink" Target="http://www.sec.gov/Archives/edgar/data/875582/000110465911002506/a11-4417_1ex10d1.htm" TargetMode="External"/><Relationship Id="rId102" Type="http://schemas.openxmlformats.org/officeDocument/2006/relationships/hyperlink" Target="http://www.sec.gov/Archives/edgar/data/875582/000110465911002506/a11-4417_1ex10d2.htm" TargetMode="External"/><Relationship Id="rId103" Type="http://schemas.openxmlformats.org/officeDocument/2006/relationships/hyperlink" Target="http://www.sec.gov/Archives/edgar/data/875582/000110465911002506/a11-4417_1ex10d3.htm" TargetMode="External"/><Relationship Id="rId104" Type="http://schemas.openxmlformats.org/officeDocument/2006/relationships/hyperlink" Target="http://www.sec.gov/Archives/edgar/data/875582/000110465911002506/a11-4417_1ex10d4.htm" TargetMode="External"/><Relationship Id="rId105" Type="http://schemas.openxmlformats.org/officeDocument/2006/relationships/hyperlink" Target="http://www.sec.gov/Archives/edgar/data/875582/000120677406002384/nt110590ex1011.htm" TargetMode="External"/><Relationship Id="rId106" Type="http://schemas.openxmlformats.org/officeDocument/2006/relationships/hyperlink" Target="http://www.sec.gov/Archives/edgar/data/875582/000117184315006334/exh_106.htm" TargetMode="External"/><Relationship Id="rId108" Type="http://schemas.openxmlformats.org/officeDocument/2006/relationships/hyperlink" Target="http://www.sec.gov/Archives/edgar/data/875582/000117184319006706/exh_101.htm" TargetMode="External"/><Relationship Id="rId109" Type="http://schemas.openxmlformats.org/officeDocument/2006/relationships/hyperlink" Target="http://www.sec.gov/Archives/edgar/data/875582/000110465909043033/a09-18139_1ex10d2.htm" TargetMode="External"/><Relationship Id="rId110" Type="http://schemas.openxmlformats.org/officeDocument/2006/relationships/hyperlink" Target="http://www.sec.gov/Archives/edgar/data/875582/000117184318007912/exh_109.htm" TargetMode="External"/><Relationship Id="rId111" Type="http://schemas.openxmlformats.org/officeDocument/2006/relationships/hyperlink" Target="http://www.sec.gov/Archives/edgar/data/875582/000117184311003555/exh_1013.htm" TargetMode="External"/><Relationship Id="rId112" Type="http://schemas.openxmlformats.org/officeDocument/2006/relationships/hyperlink" Target="http://www.sec.gov/Archives/edgar/data/875582/000117184311003555/exh_1014.htm" TargetMode="External"/><Relationship Id="rId113" Type="http://schemas.openxmlformats.org/officeDocument/2006/relationships/hyperlink" Target="http://www.sec.gov/Archives/edgar/data/875582/000117184311003555/exh_1015.htm" TargetMode="External"/><Relationship Id="rId114" Type="http://schemas.openxmlformats.org/officeDocument/2006/relationships/hyperlink" Target="http://www.sec.gov/Archives/edgar/data/875582/000117184311003555/exh_1016.htm" TargetMode="External"/><Relationship Id="rId115" Type="http://schemas.openxmlformats.org/officeDocument/2006/relationships/hyperlink" Target="http://www.sec.gov/Archives/edgar/data/875582/000117184321006611/exh_101.htm" TargetMode="External"/><Relationship Id="rId116" Type="http://schemas.openxmlformats.org/officeDocument/2006/relationships/hyperlink" Target="http://www.sec.gov/Archives/edgar/data/875582/000117184321006611/exh_102.htm" TargetMode="External"/><Relationship Id="rId117" Type="http://schemas.openxmlformats.org/officeDocument/2006/relationships/hyperlink" Target="http://www.sec.gov/Archives/edgar/data/875582/000117184317000251/exh_102.htm" TargetMode="External"/><Relationship Id="rId118" Type="http://schemas.openxmlformats.org/officeDocument/2006/relationships/hyperlink" Target="http://www.sec.gov/Archives/edgar/data/0000875582/000117184321004803/exh_101.htm" TargetMode="External"/><Relationship Id="rId119" Type="http://schemas.openxmlformats.org/officeDocument/2006/relationships/hyperlink" Target="http://www.sec.gov/Archives/edgar/data/0000875582/000117184321004803/exh_102.htm" TargetMode="External"/><Relationship Id="rId120" Type="http://schemas.openxmlformats.org/officeDocument/2006/relationships/hyperlink" Target="http://www.sec.gov/Archives/edgar/data/875582/000120677404001691/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2021-11-19T07:04:44Z</dcterms:created>
  <dcterms:modified xsi:type="dcterms:W3CDTF">2021-11-19T07:04:44Z</dcterms:modified>
</cp:coreProperties>
</file>