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700" w:right="1760" w:hanging="3692"/>
        <w:spacing w:after="0" w:line="253"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2880" w:right="1740" w:hanging="2872"/>
        <w:spacing w:after="0" w:line="266"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7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tcPr>
          <w:p>
            <w:pPr>
              <w:spacing w:after="0"/>
              <w:rPr>
                <w:sz w:val="21"/>
                <w:szCs w:val="21"/>
                <w:color w:val="auto"/>
              </w:rPr>
            </w:pPr>
          </w:p>
        </w:tc>
      </w:tr>
      <w:tr>
        <w:trPr>
          <w:trHeight w:val="210"/>
        </w:trPr>
        <w:tc>
          <w:tcPr>
            <w:tcW w:w="44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44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21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4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75" w:right="339" w:bottom="1440" w:gutter="0" w:footer="0" w:header="0"/>
          <w:type w:val="continuous"/>
        </w:sectPr>
      </w:pPr>
    </w:p>
    <w:p>
      <w:pPr>
        <w:spacing w:after="0" w:line="17"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11, 2023, there were 9,366,358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20" w:type="dxa"/>
            <w:vAlign w:val="bottom"/>
            <w:gridSpan w:val="10"/>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FINANCIAL INFORMATION</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80" w:type="dxa"/>
            <w:vAlign w:val="bottom"/>
            <w:tcBorders>
              <w:top w:val="single" w:sz="8" w:color="0000EE"/>
            </w:tcBorders>
            <w:gridSpan w:val="2"/>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320" w:type="dxa"/>
            <w:vAlign w:val="bottom"/>
            <w:gridSpan w:val="11"/>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February 28, 2023 (unaudited) and August 31, 2022 (audited)</w:t>
            </w:r>
          </w:p>
        </w:tc>
        <w:tc>
          <w:tcPr>
            <w:tcW w:w="2340" w:type="dxa"/>
            <w:vAlign w:val="bottom"/>
            <w:gridSpan w:val="5"/>
          </w:tcPr>
          <w:p>
            <w:pPr>
              <w:spacing w:after="0"/>
              <w:rPr>
                <w:sz w:val="17"/>
                <w:szCs w:val="17"/>
                <w:color w:val="auto"/>
              </w:rPr>
            </w:pPr>
          </w:p>
        </w:tc>
        <w:tc>
          <w:tcPr>
            <w:tcW w:w="7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(unaudited) for the Three and Six Months Ended February 28, 2023 and 2022</w:t>
            </w:r>
          </w:p>
        </w:tc>
        <w:tc>
          <w:tcPr>
            <w:tcW w:w="7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(unaudited) for the Three and Six Months Ended February 28, 2023 and</w:t>
            </w:r>
          </w:p>
        </w:tc>
        <w:tc>
          <w:tcPr>
            <w:tcW w:w="7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 w:type="dxa"/>
            <w:vAlign w:val="bottom"/>
            <w:tcBorders>
              <w:top w:val="single" w:sz="8" w:color="0000EE"/>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88"/>
              </w:rPr>
              <w:t>2022</w:t>
            </w:r>
          </w:p>
        </w:tc>
        <w:tc>
          <w:tcPr>
            <w:tcW w:w="2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70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10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 w:type="dxa"/>
            <w:vAlign w:val="bottom"/>
            <w:tcBorders>
              <w:top w:val="single" w:sz="8" w:color="0000EE"/>
              <w:bottom w:val="single" w:sz="8" w:color="0000EE"/>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1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Equity (unaudited) for the Three and Six Months Ended February 28, 2023 and 2022</w:t>
            </w:r>
          </w:p>
        </w:tc>
        <w:tc>
          <w:tcPr>
            <w:tcW w:w="1200" w:type="dxa"/>
            <w:vAlign w:val="bottom"/>
            <w:gridSpan w:val="3"/>
          </w:tcPr>
          <w:p>
            <w:pPr>
              <w:spacing w:after="0"/>
              <w:rPr>
                <w:sz w:val="17"/>
                <w:szCs w:val="17"/>
                <w:color w:val="auto"/>
              </w:rPr>
            </w:pPr>
          </w:p>
        </w:tc>
        <w:tc>
          <w:tcPr>
            <w:tcW w:w="7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1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for the Six Months Ended February 28, 2023 and 2022</w:t>
            </w:r>
          </w:p>
        </w:tc>
        <w:tc>
          <w:tcPr>
            <w:tcW w:w="1200" w:type="dxa"/>
            <w:vAlign w:val="bottom"/>
            <w:gridSpan w:val="3"/>
          </w:tcPr>
          <w:p>
            <w:pPr>
              <w:spacing w:after="0"/>
              <w:rPr>
                <w:sz w:val="17"/>
                <w:szCs w:val="17"/>
                <w:color w:val="auto"/>
              </w:rPr>
            </w:pPr>
          </w:p>
        </w:tc>
        <w:tc>
          <w:tcPr>
            <w:tcW w:w="7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1620" w:type="dxa"/>
            <w:vAlign w:val="bottom"/>
            <w:gridSpan w:val="4"/>
          </w:tcPr>
          <w:p>
            <w:pPr>
              <w:spacing w:after="0"/>
              <w:rPr>
                <w:sz w:val="17"/>
                <w:szCs w:val="17"/>
                <w:color w:val="auto"/>
              </w:rPr>
            </w:pPr>
          </w:p>
        </w:tc>
        <w:tc>
          <w:tcPr>
            <w:tcW w:w="7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64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80" w:type="dxa"/>
            <w:vAlign w:val="bottom"/>
            <w:gridSpan w:val="6"/>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43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80" w:type="dxa"/>
            <w:vAlign w:val="bottom"/>
            <w:gridSpan w:val="7"/>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7560" w:type="dxa"/>
            <w:vAlign w:val="bottom"/>
            <w:gridSpan w:val="12"/>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31</w:t>
            </w:r>
          </w:p>
        </w:tc>
        <w:tc>
          <w:tcPr>
            <w:tcW w:w="0" w:type="dxa"/>
            <w:vAlign w:val="bottom"/>
          </w:tcPr>
          <w:p>
            <w:pPr>
              <w:spacing w:after="0"/>
              <w:rPr>
                <w:sz w:val="1"/>
                <w:szCs w:val="1"/>
                <w:color w:val="auto"/>
              </w:rPr>
            </w:pPr>
          </w:p>
        </w:tc>
      </w:tr>
      <w:tr>
        <w:trPr>
          <w:trHeight w:val="412"/>
        </w:trPr>
        <w:tc>
          <w:tcPr>
            <w:tcW w:w="104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OTHER INFORMATION</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380" w:type="dxa"/>
            <w:vAlign w:val="bottom"/>
            <w:tcBorders>
              <w:top w:val="single" w:sz="8" w:color="0000EE"/>
            </w:tcBorders>
            <w:gridSpan w:val="2"/>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Proceedings</w:t>
            </w:r>
          </w:p>
        </w:tc>
        <w:tc>
          <w:tcPr>
            <w:tcW w:w="380" w:type="dxa"/>
            <w:vAlign w:val="bottom"/>
            <w:tcBorders>
              <w:top w:val="single" w:sz="8" w:color="0000EE"/>
            </w:tcBorders>
            <w:gridSpan w:val="2"/>
          </w:tcPr>
          <w:p>
            <w:pPr>
              <w:spacing w:after="0"/>
              <w:rPr>
                <w:sz w:val="24"/>
                <w:szCs w:val="24"/>
                <w:color w:val="auto"/>
              </w:rPr>
            </w:pPr>
          </w:p>
        </w:tc>
        <w:tc>
          <w:tcPr>
            <w:tcW w:w="7620" w:type="dxa"/>
            <w:vAlign w:val="bottom"/>
            <w:gridSpan w:val="13"/>
          </w:tcPr>
          <w:p>
            <w:pPr>
              <w:spacing w:after="0"/>
              <w:rPr>
                <w:sz w:val="24"/>
                <w:szCs w:val="24"/>
                <w:color w:val="auto"/>
              </w:rPr>
            </w:pPr>
          </w:p>
        </w:tc>
        <w:tc>
          <w:tcPr>
            <w:tcW w:w="5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26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000" w:type="dxa"/>
            <w:vAlign w:val="bottom"/>
            <w:gridSpan w:val="8"/>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Mine Safety Disclosures</w:t>
            </w:r>
          </w:p>
        </w:tc>
        <w:tc>
          <w:tcPr>
            <w:tcW w:w="540" w:type="dxa"/>
            <w:vAlign w:val="bottom"/>
            <w:tcBorders>
              <w:top w:val="single" w:sz="8" w:color="0000EE"/>
            </w:tcBorders>
            <w:gridSpan w:val="2"/>
          </w:tcPr>
          <w:p>
            <w:pPr>
              <w:spacing w:after="0"/>
              <w:rPr>
                <w:sz w:val="17"/>
                <w:szCs w:val="17"/>
                <w:color w:val="auto"/>
              </w:rPr>
            </w:pPr>
          </w:p>
        </w:tc>
        <w:tc>
          <w:tcPr>
            <w:tcW w:w="7020" w:type="dxa"/>
            <w:vAlign w:val="bottom"/>
            <w:gridSpan w:val="10"/>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8020" w:type="dxa"/>
            <w:vAlign w:val="bottom"/>
            <w:gridSpan w:val="16"/>
          </w:tcPr>
          <w:p>
            <w:pPr>
              <w:spacing w:after="0"/>
              <w:rPr>
                <w:sz w:val="17"/>
                <w:szCs w:val="17"/>
                <w:color w:val="auto"/>
              </w:rPr>
            </w:pPr>
          </w:p>
        </w:tc>
        <w:tc>
          <w:tcPr>
            <w:tcW w:w="5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9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740" w:type="dxa"/>
            <w:vAlign w:val="bottom"/>
            <w:gridSpan w:val="1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40" w:type="dxa"/>
            <w:vAlign w:val="bottom"/>
            <w:gridSpan w:val="14"/>
          </w:tcPr>
          <w:p>
            <w:pPr>
              <w:jc w:val="right"/>
              <w:ind w:right="1220"/>
              <w:spacing w:after="0"/>
              <w:rPr>
                <w:sz w:val="20"/>
                <w:szCs w:val="20"/>
                <w:color w:val="auto"/>
              </w:rPr>
            </w:pPr>
            <w:r>
              <w:rPr>
                <w:rFonts w:ascii="Times New Roman" w:cs="Times New Roman" w:eastAsia="Times New Roman" w:hAnsi="Times New Roman"/>
                <w:sz w:val="18"/>
                <w:szCs w:val="18"/>
                <w:color w:val="auto"/>
              </w:rPr>
              <w:t>_________________</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subsidiary in India effective as of September 1, 2021, HNTI Limited (formerly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FEBRUARY 28, 2023 (UNAUDITED) AND AUGUST 31, 2022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August 31, 2022</w:t>
            </w:r>
          </w:p>
        </w:tc>
      </w:tr>
      <w:tr>
        <w:trPr>
          <w:trHeight w:val="20"/>
        </w:trPr>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7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5,451,111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5,333,890</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5,590</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8"/>
        </w:trPr>
        <w:tc>
          <w:tcPr>
            <w:tcW w:w="788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$439,000 as of February 28,</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2023 and August 31, 2022</w:t>
            </w: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14,675,017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14,136,930</w:t>
            </w:r>
          </w:p>
        </w:tc>
      </w:tr>
      <w:tr>
        <w:trPr>
          <w:trHeight w:val="216"/>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1,614,934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697,861</w:t>
            </w:r>
          </w:p>
        </w:tc>
      </w:tr>
      <w:tr>
        <w:trPr>
          <w:trHeight w:val="216"/>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1,108,907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1,765,117</w:t>
            </w:r>
          </w:p>
        </w:tc>
      </w:tr>
      <w:tr>
        <w:trPr>
          <w:trHeight w:val="216"/>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15,180,239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16,341,729</w:t>
            </w:r>
          </w:p>
        </w:tc>
      </w:tr>
      <w:tr>
        <w:trPr>
          <w:trHeight w:val="216"/>
        </w:trPr>
        <w:tc>
          <w:tcPr>
            <w:tcW w:w="7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1,833,124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1,953,764</w:t>
            </w:r>
          </w:p>
        </w:tc>
      </w:tr>
      <w:tr>
        <w:trPr>
          <w:trHeight w:val="210"/>
        </w:trPr>
        <w:tc>
          <w:tcPr>
            <w:tcW w:w="78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40,176,602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40,234,881</w:t>
            </w:r>
          </w:p>
        </w:tc>
      </w:tr>
      <w:tr>
        <w:trPr>
          <w:trHeight w:val="20"/>
        </w:trPr>
        <w:tc>
          <w:tcPr>
            <w:tcW w:w="7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09"/>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13,445,966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12,170,493</w:t>
            </w:r>
          </w:p>
        </w:tc>
      </w:tr>
      <w:tr>
        <w:trPr>
          <w:trHeight w:val="209"/>
        </w:trPr>
        <w:tc>
          <w:tcPr>
            <w:tcW w:w="78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21,522,496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21,814,754</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 net</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6,409,028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6,633,878</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4,782,376</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374,037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557,571</w:t>
            </w:r>
          </w:p>
        </w:tc>
      </w:tr>
      <w:tr>
        <w:trPr>
          <w:trHeight w:val="210"/>
        </w:trPr>
        <w:tc>
          <w:tcPr>
            <w:tcW w:w="7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33,087,937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33,788,579</w:t>
            </w:r>
          </w:p>
        </w:tc>
      </w:tr>
      <w:tr>
        <w:trPr>
          <w:trHeight w:val="210"/>
        </w:trPr>
        <w:tc>
          <w:tcPr>
            <w:tcW w:w="78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86,710,505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86,193,953</w:t>
            </w:r>
          </w:p>
        </w:tc>
      </w:tr>
      <w:tr>
        <w:trPr>
          <w:trHeight w:val="20"/>
        </w:trPr>
        <w:tc>
          <w:tcPr>
            <w:tcW w:w="7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6,307,443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7,796,494</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5,900,000</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30,742</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1,304,717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2,297,543</w:t>
            </w:r>
          </w:p>
        </w:tc>
      </w:tr>
      <w:tr>
        <w:trPr>
          <w:trHeight w:val="216"/>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1,292,950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667,292</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173,179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373,330</w:t>
            </w:r>
          </w:p>
        </w:tc>
      </w:tr>
      <w:tr>
        <w:trPr>
          <w:trHeight w:val="209"/>
        </w:trPr>
        <w:tc>
          <w:tcPr>
            <w:tcW w:w="78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16,178,289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17,065,401</w:t>
            </w:r>
          </w:p>
        </w:tc>
      </w:tr>
      <w:tr>
        <w:trPr>
          <w:trHeight w:val="210"/>
        </w:trPr>
        <w:tc>
          <w:tcPr>
            <w:tcW w:w="78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1,623,364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1,700,015</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 less current portion</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200,858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184,241</w:t>
            </w:r>
          </w:p>
        </w:tc>
      </w:tr>
      <w:tr>
        <w:trPr>
          <w:trHeight w:val="210"/>
        </w:trPr>
        <w:tc>
          <w:tcPr>
            <w:tcW w:w="78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1,824,222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1,884,256</w:t>
            </w:r>
          </w:p>
        </w:tc>
      </w:tr>
      <w:tr>
        <w:trPr>
          <w:trHeight w:val="236"/>
        </w:trPr>
        <w:tc>
          <w:tcPr>
            <w:tcW w:w="788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3"/>
        </w:trPr>
        <w:tc>
          <w:tcPr>
            <w:tcW w:w="7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 February 28, 2023 and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August 31, 2022; issued and outstanding 9,366,357 and 9,232,483, respectively</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184,650</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21,058,721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19,939,131</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50,792,813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50,716,613</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(6,774,510)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(7,245,132)</w:t>
            </w:r>
          </w:p>
        </w:tc>
      </w:tr>
      <w:tr>
        <w:trPr>
          <w:trHeight w:val="210"/>
        </w:trPr>
        <w:tc>
          <w:tcPr>
            <w:tcW w:w="78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65,264,351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63,595,262</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3,443,643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3,649,034</w:t>
            </w:r>
          </w:p>
        </w:tc>
      </w:tr>
      <w:tr>
        <w:trPr>
          <w:trHeight w:val="210"/>
        </w:trPr>
        <w:tc>
          <w:tcPr>
            <w:tcW w:w="78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68,707,994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67,244,296</w:t>
            </w:r>
          </w:p>
        </w:tc>
      </w:tr>
      <w:tr>
        <w:trPr>
          <w:trHeight w:val="209"/>
        </w:trPr>
        <w:tc>
          <w:tcPr>
            <w:tcW w:w="78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86,710,505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86,193,953</w:t>
            </w:r>
          </w:p>
        </w:tc>
      </w:tr>
      <w:tr>
        <w:trPr>
          <w:trHeight w:val="20"/>
        </w:trPr>
        <w:tc>
          <w:tcPr>
            <w:tcW w:w="7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18,270,825</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16,748,639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38,223,591</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34,942,052</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11,867,639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11,764,304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25,467,281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24,254,787</w:t>
            </w: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6,403,186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4,984,335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12,756,310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10,687,265</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1,128,731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922,832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2,318,135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2,297,581</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1,252,746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1,246,909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2,434,551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2,505,767</w:t>
            </w:r>
          </w:p>
        </w:tc>
      </w:tr>
      <w:tr>
        <w:trPr>
          <w:trHeight w:val="209"/>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2,381,477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2,169,741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4,752,686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4,803,348</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3,418,717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2,971,391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6,926,151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6,209,149</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3,084,189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2,518,788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6,214,788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5,115,135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994,450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1,218,674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2,251,174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2,454,495</w:t>
            </w:r>
          </w:p>
        </w:tc>
      </w:tr>
      <w:tr>
        <w:trPr>
          <w:trHeight w:val="210"/>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7,497,356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6,708,853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15,392,113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13,778,779</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1,287,307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445,223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2,116,883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1,711,834</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REMEASUREMENT GAIN ON ACQUISITION OF EQUITY METHOD</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INVESTEE</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3,951,550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20,852</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(206,475)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1,175,614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447,728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1,920,027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5,673,941</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181,795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151,743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292,528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656,123</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993,819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1,627,499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5,017,818</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108,571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240,009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341,212</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885,248</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182,847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1,387,490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4,676,606</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r>
      <w:tr>
        <w:trPr>
          <w:trHeight w:val="196"/>
        </w:trPr>
        <w:tc>
          <w:tcPr>
            <w:tcW w:w="59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3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0.48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9,366,357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9,214,817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9,353,989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9,211,858</w:t>
            </w:r>
          </w:p>
        </w:tc>
      </w:tr>
      <w:tr>
        <w:trPr>
          <w:trHeight w:val="197"/>
        </w:trPr>
        <w:tc>
          <w:tcPr>
            <w:tcW w:w="59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9,747,461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9,683,426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9,745,166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9,736,060</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ind w:right="3960"/>
        <w:spacing w:after="0" w:line="291"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CONSOLIDATED STATEMENTS OF COMPREHENSIVE INCOME (UNAUDITED) FOR THE THREE AND SIX MONTHS ENDED FEBRUARY 28,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993,819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295,985</w:t>
            </w: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1,627,499</w:t>
            </w:r>
          </w:p>
        </w:tc>
        <w:tc>
          <w:tcPr>
            <w:tcW w:w="3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5,017,818</w:t>
            </w: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LOSS – FOREIGN CURRENCY</w:t>
            </w:r>
          </w:p>
        </w:tc>
        <w:tc>
          <w:tcPr>
            <w:tcW w:w="240" w:type="dxa"/>
            <w:vAlign w:val="bottom"/>
          </w:tcPr>
          <w:p>
            <w:pPr>
              <w:spacing w:after="0"/>
              <w:rPr>
                <w:sz w:val="17"/>
                <w:szCs w:val="17"/>
                <w:color w:val="auto"/>
              </w:rPr>
            </w:pP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534,713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26,295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480,796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(382,769)</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1,528,532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322,280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2,108,295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4,635,049</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(292,102)</w:t>
            </w:r>
          </w:p>
        </w:tc>
        <w:tc>
          <w:tcPr>
            <w:tcW w:w="0" w:type="dxa"/>
            <w:vAlign w:val="bottom"/>
          </w:tcPr>
          <w:p>
            <w:pPr>
              <w:spacing w:after="0"/>
              <w:rPr>
                <w:sz w:val="1"/>
                <w:szCs w:val="1"/>
                <w:color w:val="auto"/>
              </w:rPr>
            </w:pPr>
          </w:p>
        </w:tc>
      </w:tr>
      <w:tr>
        <w:trPr>
          <w:trHeight w:val="221"/>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1,640,490</w:t>
            </w:r>
          </w:p>
        </w:tc>
        <w:tc>
          <w:tcPr>
            <w:tcW w:w="1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458,317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2,358,478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4,927,151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576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 – THREE MONTHS ENDED</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2023 AND 2022</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9,203,446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184,069</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$19,146,510</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$50,823,730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(3,862,085)</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$ 3,338,620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$69,630,844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18,071</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232,883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232,883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(645,511)</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(645,511)</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182,847</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113,138</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295,985</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22,899</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26,295</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28, 2022</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9,221,517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184,430</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$19,379,032</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$50,361,066</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(3,858,689)</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$ 3,371,928</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$69,437,767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30, 2022</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9,336,357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$20,721,235</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$50,563,210</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(7,305,836)</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$ 3,707,259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$67,873,195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337,486</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337,486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(655,645)</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(655,645)</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885,248</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108,571</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993,819</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531,326</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3,387</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534,713</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28, 2023</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9,336,357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$21,058,721</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$50,792,813</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(6,774,510)</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$ 3,443,643</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$68,707,994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760" w:type="dxa"/>
            <w:vAlign w:val="bottom"/>
            <w:tcBorders>
              <w:bottom w:val="single" w:sz="8" w:color="auto"/>
            </w:tcBorders>
            <w:gridSpan w:val="7"/>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240" w:type="dxa"/>
            <w:vAlign w:val="bottom"/>
          </w:tcPr>
          <w:p>
            <w:pPr>
              <w:spacing w:after="0"/>
              <w:rPr>
                <w:sz w:val="24"/>
                <w:szCs w:val="24"/>
                <w:color w:val="auto"/>
              </w:rPr>
            </w:pPr>
          </w:p>
        </w:tc>
        <w:tc>
          <w:tcPr>
            <w:tcW w:w="576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 – SIX MONTHS ENDED FEBRUARY 28,</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2023 AND 2022</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9,184,811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183,696</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$18,736,268</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$46,973,092</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(3,525,030)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$ 3,382,555</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$65,750,581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34,071</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138,519</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139,200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2,635</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38,479</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38,532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465,766</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465,766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(1,288,632)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(1,288,632)</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(302,729)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4,676,606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341,212</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5,017,818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(333,659)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(382,769)</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28, 2022</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9,221,517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184,430</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$19,379,032</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$50,361,066</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(3,858,689)</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$ 3,371,928</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$69,437,767</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2022</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9,232,483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$19,939,131</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$50,716,613</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(7,245,132)</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$ 3,649,034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$67,244,296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130,254</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2,605</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413,958</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416,563</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3,620</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38,624</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38,696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667,008</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667,008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(1,311,290)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(1,311,290)</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(455,574)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1,387,490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240,009</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1,627,499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470,622</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10,174</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480,796</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28, 2023</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9,336,357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187,327</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$21,058,721</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$50,792,813</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(6,774,510)</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$ 3,443,643</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$68,707,994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974" w:gutter="0" w:footer="0" w:header="0"/>
        </w:sectPr>
      </w:pPr>
    </w:p>
    <w:bookmarkStart w:id="7" w:name="page8"/>
    <w:bookmarkEnd w:id="7"/>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SIX MONTHS ENDED FEBRUARY 28,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1,627,499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5,017,818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667,008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465,766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430,991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294,873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315,631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Remeasurement gain on acquisition of equity method investee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(3,951,550)</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(2,318,135)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(2,297,581)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3,464,736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5,362,636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139,338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321,322</w:t>
            </w:r>
          </w:p>
        </w:tc>
      </w:tr>
      <w:tr>
        <w:trPr>
          <w:trHeight w:val="216"/>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Trade, joint ventures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(281,153)</w:t>
            </w:r>
          </w:p>
        </w:tc>
      </w:tr>
      <w:tr>
        <w:trPr>
          <w:trHeight w:val="216"/>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656,210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426,425</w:t>
            </w:r>
          </w:p>
        </w:tc>
      </w:tr>
      <w:tr>
        <w:trPr>
          <w:trHeight w:val="216"/>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(286,458)</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996,522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(990,628)</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259,712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(1,136,130)</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674,147</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(376,544)</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(1,715,302)</w:t>
            </w:r>
          </w:p>
        </w:tc>
      </w:tr>
      <w:tr>
        <w:trPr>
          <w:trHeight w:val="210"/>
        </w:trPr>
        <w:tc>
          <w:tcPr>
            <w:tcW w:w="800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2,204,834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2,118,728</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Zerust India business, net of cash acquired</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(5,062,003)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(618,533)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patents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(112,297)</w:t>
            </w:r>
          </w:p>
        </w:tc>
      </w:tr>
      <w:tr>
        <w:trPr>
          <w:trHeight w:val="210"/>
        </w:trPr>
        <w:tc>
          <w:tcPr>
            <w:tcW w:w="800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(1,923,336)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(5,792,833)</w:t>
            </w: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proceeds from line of credit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416,563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received by non-controlling interest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(302,729)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38,696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38,532</w:t>
            </w:r>
          </w:p>
        </w:tc>
      </w:tr>
      <w:tr>
        <w:trPr>
          <w:trHeight w:val="209"/>
        </w:trPr>
        <w:tc>
          <w:tcPr>
            <w:tcW w:w="800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2,786,371</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694,904</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117,221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5,333,890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7,680,641</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5,451,111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7,487,811</w:t>
            </w:r>
          </w:p>
        </w:tc>
      </w:tr>
      <w:tr>
        <w:trPr>
          <w:trHeight w:val="412"/>
        </w:trPr>
        <w:tc>
          <w:tcPr>
            <w:tcW w:w="800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ind w:right="392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2023 and August 31, 2022 and the results of the Company’s operations for the three and six months ended February 28, 2023 and 2022, the changes in stockholders’ equity for the three and six months ended February 28, 2023 and 2022, and the Company’s cash flows for the six months ended February 28, 2023 and 2022, in conformity with accounting principles generally accepted in the United States of America (U.S. GAAP).</w:t>
      </w:r>
    </w:p>
    <w:p>
      <w:pPr>
        <w:spacing w:after="0" w:line="183" w:lineRule="exact"/>
        <w:rPr>
          <w:sz w:val="20"/>
          <w:szCs w:val="20"/>
          <w:color w:val="auto"/>
        </w:rPr>
      </w:pPr>
    </w:p>
    <w:p>
      <w:pPr>
        <w:ind w:right="64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2022. These consolidated financial statements also should be read in conjunction with the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 section appearing in this report.</w:t>
      </w:r>
    </w:p>
    <w:p>
      <w:pPr>
        <w:spacing w:after="0" w:line="1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six months ended February 28, 2023 are not necessarily indicative of the results that may be expected for the full fiscal year ending August 31, 2023.</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requiring recording or disclosure in the consolidated financial statements.</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Measurement of Credit Losses on Financial Instruments, which revises guidance for the accounting for credit losses on financial instruments within its scope, and in November 2018, 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 w:name="page10"/>
    <w:bookmarkEnd w:id="9"/>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31, 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5,629,424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6,496,656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9,550,815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9,845,073</w:t>
            </w: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15,180,239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16,341,729</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860" w:type="dxa"/>
            <w:vAlign w:val="bottom"/>
            <w:gridSpan w:val="2"/>
          </w:tcPr>
          <w:p>
            <w:pPr>
              <w:jc w:val="right"/>
              <w:ind w:right="461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2023</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2022</w:t>
            </w:r>
          </w:p>
        </w:tc>
      </w:tr>
      <w:tr>
        <w:trPr>
          <w:trHeight w:val="209"/>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r>
      <w:tr>
        <w:trPr>
          <w:trHeight w:val="216"/>
        </w:trPr>
        <w:tc>
          <w:tcPr>
            <w:tcW w:w="8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16,428,804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14,778,759</w:t>
            </w:r>
          </w:p>
        </w:tc>
      </w:tr>
      <w:tr>
        <w:trPr>
          <w:trHeight w:val="216"/>
        </w:trPr>
        <w:tc>
          <w:tcPr>
            <w:tcW w:w="8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5,792,363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5,643,320</w:t>
            </w:r>
          </w:p>
        </w:tc>
      </w:tr>
      <w:tr>
        <w:trPr>
          <w:trHeight w:val="209"/>
        </w:trPr>
        <w:tc>
          <w:tcPr>
            <w:tcW w:w="520" w:type="dxa"/>
            <w:vAlign w:val="bottom"/>
            <w:tcBorders>
              <w:top w:val="single" w:sz="8" w:color="CCEEFF"/>
            </w:tcBorders>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22,531,532</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20,732,444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(9,085,566)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(8,561,951)</w:t>
            </w:r>
          </w:p>
        </w:tc>
      </w:tr>
      <w:tr>
        <w:trPr>
          <w:trHeight w:val="210"/>
        </w:trPr>
        <w:tc>
          <w:tcPr>
            <w:tcW w:w="520" w:type="dxa"/>
            <w:vAlign w:val="bottom"/>
          </w:tcPr>
          <w:p>
            <w:pPr>
              <w:spacing w:after="0"/>
              <w:rPr>
                <w:sz w:val="18"/>
                <w:szCs w:val="18"/>
                <w:color w:val="auto"/>
              </w:rPr>
            </w:pPr>
          </w:p>
        </w:tc>
        <w:tc>
          <w:tcPr>
            <w:tcW w:w="78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13,445,966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12,170,493</w:t>
            </w:r>
          </w:p>
        </w:tc>
      </w:tr>
      <w:tr>
        <w:trPr>
          <w:trHeight w:val="20"/>
        </w:trPr>
        <w:tc>
          <w:tcPr>
            <w:tcW w:w="5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February 28, 2023, the Company purchased the property immediately adjacent to NTIC’s headquarters in Circle Pines, Minnesota, which includes a 26,000 square foot industrial building for $1,200,000. The building will be used primarily for warehousing space and light industrial production.</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Depreciation expense was $225,962 and $488,838 for the three and six months ended February 28, 2023, respectively, compared to $215,685 and $430,991 for the three and six months ended February 28, 2022, respectively.</w:t>
      </w: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As of February 28, 2023</w:t>
      </w:r>
    </w:p>
    <w:p>
      <w:pPr>
        <w:spacing w:after="0" w:line="31" w:lineRule="exact"/>
        <w:rPr>
          <w:sz w:val="20"/>
          <w:szCs w:val="20"/>
          <w:color w:val="auto"/>
        </w:rPr>
      </w:pPr>
    </w:p>
    <w:tbl>
      <w:tblPr>
        <w:tblLayout w:type="fixed"/>
        <w:tblInd w:w="7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3,295,678</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(2,598,950)</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696,728</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(634,700)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5,712,300</w:t>
            </w:r>
          </w:p>
        </w:tc>
      </w:tr>
      <w:tr>
        <w:trPr>
          <w:trHeight w:val="210"/>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9,642,678</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(3,233,650)</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6,409,028</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-445135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-161925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As of August 31, 2022</w:t>
      </w:r>
    </w:p>
    <w:p>
      <w:pPr>
        <w:spacing w:after="0" w:line="31" w:lineRule="exact"/>
        <w:rPr>
          <w:sz w:val="20"/>
          <w:szCs w:val="20"/>
          <w:color w:val="auto"/>
        </w:rPr>
      </w:pPr>
    </w:p>
    <w:tbl>
      <w:tblPr>
        <w:tblLayout w:type="fixed"/>
        <w:tblInd w:w="7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3,225,655</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(2,515,644)</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710,011</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(423,133)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5,923,867</w:t>
            </w:r>
          </w:p>
        </w:tc>
      </w:tr>
      <w:tr>
        <w:trPr>
          <w:trHeight w:val="210"/>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9,572,655</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(2,938,777)</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6,633,878</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-445135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-161925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60" w:space="720"/>
            <w:col w:w="5660"/>
          </w:cols>
          <w:pgMar w:left="320" w:top="819" w:right="339" w:bottom="1440" w:gutter="0" w:footer="0" w:header="0"/>
          <w:type w:val="continuous"/>
        </w:sectPr>
      </w:pPr>
    </w:p>
    <w:bookmarkStart w:id="10" w:name="page11"/>
    <w:bookmarkEnd w:id="10"/>
    <w:p>
      <w:pPr>
        <w:ind w:right="74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$147,062 and $294,873 for the three and six months ended February 28, 2023, respectively, compared to $195,737 and $315,631 for the three and six months ended February 28,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2023, future amortization expense related to intangible assets for each of the next five fiscal years and thereafter is estimated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2023</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294,873</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589,746</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589,746</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589,746</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589,746</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3,755,171</w:t>
            </w:r>
          </w:p>
        </w:tc>
      </w:tr>
      <w:tr>
        <w:trPr>
          <w:trHeight w:val="249"/>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6,409,028</w:t>
            </w: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As of February 28, 2023</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54,425,899</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25,538,114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28,887,785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57,924,227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27,376,219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30,548,008</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14,002,680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3,163,365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10,839,315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346,645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43,574,902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24,212,854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19,362,048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21,522,496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12,106,429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9,416,067</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20,493,861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12,075,524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8,418,337</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February 28, 2023</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25,482,590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9,708,482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15,774,108</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10,035,811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4,733,435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5,302,376</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1,969,046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1,365,170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603,876</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1,128,731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676,800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451,931</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422,048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422,048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Six Months Ended February 28, 2023</w:t>
            </w: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50,212,879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19,854,403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30,358,476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19,729,379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9,453,477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10,275,902</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4,615,954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3,107,457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1,508,497</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2,318,135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1,547,944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770,191</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3,464,736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2,459,500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1,005,236</w:t>
            </w:r>
          </w:p>
        </w:tc>
      </w:tr>
      <w:tr>
        <w:trPr>
          <w:trHeight w:val="432"/>
        </w:trPr>
        <w:tc>
          <w:tcPr>
            <w:tcW w:w="61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6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52,428,831</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26,047,914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26,380,917</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55,854,457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27,932,532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27,921,925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10,981,833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2,943,895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8,037,938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1,138,980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43,733,644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24,988,637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18,745,007</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21,814,754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12,494,320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9,320,434</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undistributed earnings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21,256,923</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12,463,415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8,793,508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February 28, 2022</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24,601,767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9,312,434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15,289,333</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9,845,002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4,658,450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5,186,552</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1,851,591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1,170,187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681,404</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922,832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589,048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333,784</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320,365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320,365</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Six Months Ended February 28, 2022</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51,624,762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20,612,662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31,012,100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20,877,961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10,127,436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10,750,525</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4,629,196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2,991,734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1,637,462</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2,297,581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1,499,821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797,760</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5,362,636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4,255,200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1,107,436</w:t>
            </w: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6, 2023, the Company entered into a Credit Agreement (the “Credit Agreement”) with JPMorgan Chase Bank, N.A. (“JPM”), which provides the Company with a senior secured revolving line of credit (the “Credit Facility”) of up to $10.0 million, which includes a $5.0 million sublimit for standby letters of credit. Borrowings of $7,100,000 and $5,900,000 were outstanding under the lines of credit as of February 28, 2023 and August 31, 2022, respectively.</w:t>
      </w:r>
    </w:p>
    <w:p>
      <w:pPr>
        <w:spacing w:after="0" w:line="18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Unless terminated earlier, the Credit Facility will mature on January 6, 2024, and the principal amount thereunder, together with all accrued unpaid interest and other amounts owing thereunder, if any, will be payable in full on such date. 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2.15% applied per annum. There is no applicable margin with respect to borrowings using a CB Floating Rate.</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to JPM a continuing security interest in all of its right, title and interested in collateral made up for the assets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right="80"/>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Credit Agreement described above, on January 6, 2023, the Amended and Restated Loan Agreement dated August 31, 2021 between Northern Technologies International Corporation and PNC Bank, National Association was terminated.</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2023,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2022</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16, 2022</w:t>
            </w: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2023</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2023</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2023</w:t>
            </w:r>
          </w:p>
        </w:tc>
      </w:tr>
    </w:tbl>
    <w:p>
      <w:pPr>
        <w:spacing w:after="0" w:line="179" w:lineRule="exact"/>
        <w:rPr>
          <w:sz w:val="20"/>
          <w:szCs w:val="20"/>
          <w:color w:val="auto"/>
        </w:rPr>
      </w:pPr>
    </w:p>
    <w:p>
      <w:pPr>
        <w:jc w:val="both"/>
        <w:ind w:right="60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2022,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2021</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2021</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17, 2021</w:t>
            </w: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2022</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2022</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February 28, 2023 and 2022, the Company repurchased no shares of its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3,620 and 2,636 shares of common stock on September 1, 2022 and 2021, respectively, under the Northern Technologies International Corporation Employee Stock Purchase Plan (ESPP). The ESPP is compensatory for financial reporting purposes. As of February 28, 2023, 65,600 shares of common stock remained available for sale under the ESPP.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and six months ended February 28,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w:t>
            </w:r>
          </w:p>
        </w:tc>
        <w:tc>
          <w:tcPr>
            <w:tcW w:w="98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885,248</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182,847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1,387,490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4,676,606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9,366,357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9,214,817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9,353,989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9,211,858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381,104</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468,609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391,177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524,202</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9,747,461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9,683,426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9,745,166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9,736,060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and six months ended February 28, 2023 were options outstanding to purchase 305,514 shares of common stock. Excluded from the computation of diluted net income per share for the three and six months ended February 28, 2022, were options outstanding to purchase 311,061 shares of common stock.</w:t>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A summary of stock option activities under the Northern Technologies International Corporation Amended and Restated 2019 Stock Incentive Plan (the 2019 Plan) and the Northern Technologies International Corporation Amended and Restated 2007 Stock Incentive Plan (the 2007 Plan)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4"/>
              </w:rPr>
              <w:t>Price</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2022</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1,544,727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277,613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(178,331)</w:t>
            </w:r>
          </w:p>
        </w:tc>
        <w:tc>
          <w:tcPr>
            <w:tcW w:w="3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February 28, 2023</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1,644,009</w:t>
            </w:r>
          </w:p>
        </w:tc>
        <w:tc>
          <w:tcPr>
            <w:tcW w:w="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per share fair value of options granted during the six months ended February 28, 2023 and 2022 was $4.75 and $7.29,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life of the options outstanding as of February 28, 2023 and 2022 was 6.42 years and 6.25 years,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4" w:name="page15"/>
    <w:bookmarkEnd w:id="14"/>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of $674,971 and $465,766 during the six months ended February 28, 2023 and 2022, respectively. As of February 28, 2023, there was $1,686,298 of unrecognized compensation expense. The amount is expected to be recognized over a period of 2.5 years.</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almost 50 years and, more recently, has targeted and expanded into the oil and gas industry. The Company also sells a portfolio of bio-based and compostable (fully biodegradable) polymer resins and finished products under the Natur-Tec®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six months ended February 28, 2023 and 2022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14,458,747</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13,117,777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29,828,748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27,541,562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3,812,078</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3,630,862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8,394,843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7,400,490</w:t>
            </w: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18,270,825</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16,748,639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38,223,591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34,942,052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six months ended February 28, 2023 and 2022 by segment:</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cost of goods sold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ZERUST®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Natur-Tec®</w:t>
      </w:r>
    </w:p>
    <w:p>
      <w:pPr>
        <w:spacing w:after="0" w:line="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Indirect cost of goods sold Total net cost of goods sold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c>
          <w:tcPr>
            <w:tcW w:w="1040" w:type="dxa"/>
            <w:vAlign w:val="bottom"/>
            <w:tcBorders>
              <w:bottom w:val="single" w:sz="8" w:color="auto"/>
            </w:tcBorders>
          </w:tcPr>
          <w:p>
            <w:pPr>
              <w:spacing w:after="0"/>
              <w:rPr>
                <w:sz w:val="20"/>
                <w:szCs w:val="20"/>
                <w:color w:val="auto"/>
              </w:rPr>
            </w:pPr>
          </w:p>
        </w:tc>
      </w:tr>
      <w:tr>
        <w:trPr>
          <w:trHeight w:val="187"/>
        </w:trPr>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Product</w:t>
            </w:r>
          </w:p>
        </w:tc>
      </w:tr>
      <w:tr>
        <w:trPr>
          <w:trHeight w:val="238"/>
        </w:trPr>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r>
      <w:tr>
        <w:trPr>
          <w:trHeight w:val="407"/>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8,115,451</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8,151,274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$17,294,705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$16,857,941</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2,931,036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2,775,436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6,501,709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5,697,533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4"/>
        </w:trPr>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821,152</w:t>
            </w:r>
          </w:p>
        </w:tc>
        <w:tc>
          <w:tcPr>
            <w:tcW w:w="120" w:type="dxa"/>
            <w:vAlign w:val="bottom"/>
          </w:tcPr>
          <w:p>
            <w:pPr>
              <w:spacing w:after="0"/>
              <w:rPr>
                <w:sz w:val="20"/>
                <w:szCs w:val="20"/>
                <w:color w:val="auto"/>
              </w:rPr>
            </w:pPr>
          </w:p>
        </w:tc>
        <w:tc>
          <w:tcPr>
            <w:tcW w:w="12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837,594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1,670,867</w:t>
            </w:r>
          </w:p>
        </w:tc>
        <w:tc>
          <w:tcPr>
            <w:tcW w:w="10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1,699,313</w:t>
            </w:r>
          </w:p>
        </w:tc>
        <w:tc>
          <w:tcPr>
            <w:tcW w:w="10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11,867,639</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11,764,304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25,467,281</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24,254,787</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-719455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-445135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-161925</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1980" w:space="240"/>
            <w:col w:w="9020"/>
          </w:cols>
          <w:pgMar w:left="320" w:top="580" w:right="339" w:bottom="1440" w:gutter="0" w:footer="0" w:header="0"/>
          <w:type w:val="continuous"/>
        </w:sectPr>
      </w:pPr>
    </w:p>
    <w:p>
      <w:pPr>
        <w:ind w:left="660" w:right="120" w:hanging="652"/>
        <w:spacing w:after="0" w:line="26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segment sales is calculated by dividing the direct cost of goods sold for each individual segment category by the net sales for each segment category.</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and six months ended February 28, 2023 and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6,750,997</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5,115,963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14,229,158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11,272,285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883,513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2,163,228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1,723,952</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Unaffiliated customers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9,990,065</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10,749,163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21,831,205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21,945,815</w:t>
            </w:r>
          </w:p>
        </w:tc>
      </w:tr>
      <w:tr>
        <w:trPr>
          <w:trHeight w:val="209"/>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18,270,825</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16,748,639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38,223,591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34,942,052</w:t>
            </w:r>
          </w:p>
        </w:tc>
      </w:tr>
      <w:tr>
        <w:trPr>
          <w:trHeight w:val="432"/>
        </w:trPr>
        <w:tc>
          <w:tcPr>
            <w:tcW w:w="59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and six months ended February 28, 2023 and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February 28,</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202,964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216,992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199,927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172,700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153,795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151,933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91,601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87,918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65,803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64,173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86,736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58,834</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96,803</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8"/>
        </w:trPr>
        <w:tc>
          <w:tcPr>
            <w:tcW w:w="3380" w:type="dxa"/>
            <w:vAlign w:val="bottom"/>
          </w:tcPr>
          <w:p>
            <w:pPr>
              <w:spacing w:after="0"/>
              <w:rPr>
                <w:sz w:val="19"/>
                <w:szCs w:val="19"/>
                <w:color w:val="auto"/>
              </w:rPr>
            </w:pPr>
          </w:p>
        </w:tc>
        <w:tc>
          <w:tcPr>
            <w:tcW w:w="2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1,252,746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1,246,908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4"/>
        </w:trPr>
        <w:tc>
          <w:tcPr>
            <w:tcW w:w="3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Six Months Ended February 28,</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7"/>
        </w:trPr>
        <w:tc>
          <w:tcPr>
            <w:tcW w:w="33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33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33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396,792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435,422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386,623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349,626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301,715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318,740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228,295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231,958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213,051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207,248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182,052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165,599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174,557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175,472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171,333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139,483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126,800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123,339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181,663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127,597</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173,756</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8"/>
        </w:trPr>
        <w:tc>
          <w:tcPr>
            <w:tcW w:w="3380" w:type="dxa"/>
            <w:vAlign w:val="bottom"/>
          </w:tcPr>
          <w:p>
            <w:pPr>
              <w:spacing w:after="0"/>
              <w:rPr>
                <w:sz w:val="19"/>
                <w:szCs w:val="19"/>
                <w:color w:val="auto"/>
              </w:rPr>
            </w:pPr>
          </w:p>
        </w:tc>
        <w:tc>
          <w:tcPr>
            <w:tcW w:w="2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2,434,551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2,505,767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4"/>
        </w:trPr>
        <w:tc>
          <w:tcPr>
            <w:tcW w:w="3380" w:type="dxa"/>
            <w:vAlign w:val="bottom"/>
          </w:tcPr>
          <w:p>
            <w:pPr>
              <w:spacing w:after="0"/>
              <w:rPr>
                <w:sz w:val="24"/>
                <w:szCs w:val="24"/>
                <w:color w:val="auto"/>
              </w:rPr>
            </w:pPr>
          </w:p>
        </w:tc>
        <w:tc>
          <w:tcPr>
            <w:tcW w:w="2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5,885,664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5,826,898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565,022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6,891,392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5,778,573</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13,445,966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12,170,493</w:t>
            </w:r>
          </w:p>
        </w:tc>
      </w:tr>
      <w:tr>
        <w:trPr>
          <w:trHeight w:val="20"/>
        </w:trPr>
        <w:tc>
          <w:tcPr>
            <w:tcW w:w="8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r>
      <w:tr>
        <w:trPr>
          <w:trHeight w:val="210"/>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2,871,795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4,163,741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936,089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4,364,358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4,068,781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3,076,885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2,464,066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6,750,997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5,115,962</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18,270,825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16,748,639</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6,618,435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8,221,593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2,574,208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2,232,306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9,211,285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8,545,765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5,590,505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4,670,103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14,229,158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11,272,285</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38,223,591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34,942,052</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Three joint ventures (the Company’s joint ventures in South Korea, Sweden and France) accounted for 68.1% of the Company’s trade joint ventures receivables as of February 28, 2023, and one joint venture (the Company’s joint venture in South Korea) accounted for 33.8% of the Company’s trade joint venture receivables as of February 28,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February 28, 2023,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2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during the three and six months ended February 28, 2023 or 2022.</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115,144</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7,404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206,475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10,295</w:t>
            </w: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six months ended February 28, 2023 was $181,795 and $292,528, respectively, compared to $151,743 and $656,123, respectively, for the three and six months ended February 28, 2022. The expense was largely due to foreign operations. The Company has federal and state tax credit carry forwards, net operating loss carry forwards and foreign tax carry forwards. The Company has recorded a full valuation allowance against the U.S. deferred tax assets as of February 28, 2023 and August 31, 2022.</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7, 2023, the Company’s wholly-owned subsidiary in China, NTIC China, entered into a line of credit agreement with China Construction Bank Corporation, which provides NTIC China with a RMB 10,000,000 (USD $1.45 million) revolving line of credit. The term of the credit agreement is for one year, after which an extension of the agreement is required. The credit agreement has an annual interest rate of 3.25% with interest due monthly. The line of credit is secured by various property owned by NTIC China and the line of credit agreement contains certain financial and other covenants.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8" w:name="page19"/>
    <w:bookmarkEnd w:id="1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almost 50 years and, more recently, has also expanded into the oil and gas industry. Additionally, NTIC markets and sells a portfolio of proprietary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starting September 1, 2021 its wholly-owned subsidiary in India, HNTI Ltd. (Zerust India),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 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spacing w:after="0" w:line="272" w:lineRule="auto"/>
        <w:rPr>
          <w:sz w:val="20"/>
          <w:szCs w:val="20"/>
          <w:color w:val="auto"/>
        </w:rPr>
      </w:pPr>
      <w:r>
        <w:rPr>
          <w:rFonts w:ascii="Times New Roman" w:cs="Times New Roman" w:eastAsia="Times New Roman" w:hAnsi="Times New Roman"/>
          <w:sz w:val="17"/>
          <w:szCs w:val="17"/>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a result of the novel coronavirus (COVID-19) and related government mandated restrictions on NTIC’s business, as well as the businesses of its joint ventures, customers and suppliers, disruption to the Company’s business and the manufacture and sale of its products and services continued to occur during the first six months of fiscal 2023, including in particular China, and may continue during the remainder of fiscal 2023. While demand in China improved during the second quarter of fiscal 2023 as a result of government restrictions that were lifted, NTIC continued to experience softened demand for its products in China during the first six months of fiscal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Worldwide Supply Chain Disruptions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Worldwide supply chain disruptions, which were initially brought about by the impact of COVID-19, have persisted despite the recovery in the global economy and financial markets. These issues continued during the first six months of fiscal 2023 and, although these issues have shown some improvement, are expected to continue to some degree throughout the remainder of fiscal 2023. NTIC has experienced longer lead times for raw materials, has been forced to find new suppliers of certain raw materials, and has experienced raw material cost increases compared to prior fiscal quarters. Additionally, NTIC has experienced significantly longer shipping times and significant price increases per shipping container compared to prior fiscal quarters due to ocean freight capacity issues resulting from increased demand for shipping and reduced capacity and equipment. These and other issues resulting from worldwide supply chain disruptions have recently improved but are expected to continue to some degree throughout the remainder of fiscal 2023 and could continue to have a material adverse effect on NTIC’s business, operating results and financial condition. The precise financial impact and duration, however, cannot be reasonably estimated at this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 w:name="page21"/>
    <w:bookmarkEnd w:id="20"/>
    <w:p>
      <w:pPr>
        <w:ind w:right="60"/>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and six months ended February 28, 2023 include the following, with increases or decreases in each case as compared to the respective prior fiscal year period:</w:t>
      </w:r>
    </w:p>
    <w:p>
      <w:pPr>
        <w:spacing w:after="0" w:line="162" w:lineRule="exact"/>
        <w:rPr>
          <w:sz w:val="20"/>
          <w:szCs w:val="20"/>
          <w:color w:val="auto"/>
        </w:rPr>
      </w:pPr>
    </w:p>
    <w:p>
      <w:pPr>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9.1% and 9.4% during the three and six months ended February 28, 2023, respectively, compared to the three and six months ended February 28, 2022 primarily as a result of an increase in sales of and demand for both</w:t>
      </w:r>
    </w:p>
    <w:p>
      <w:pPr>
        <w:ind w:left="130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products, as well as targeted price increases on certain products. During the six months ended February 28, 2023, 78.0% of NTIC’s consolidated net sales were derived from sales of ZERUST® products and services, which increased 8.3% over the prior fiscal year period, and 22.0% of NTIC’s consolidated net sales were derived from sales of Natur-Tec® products, which increased 13.4% over the prior fiscal year period. NTIC’s consolidated net sales for the six months ended February 28, 2023 included $3,427,132 of sales made to customers in the oil and gas industry, a 121.1% increase over the prior fiscal year period.</w:t>
      </w:r>
    </w:p>
    <w:p>
      <w:pPr>
        <w:spacing w:after="0" w:line="186"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decreased to 65.0% during the three months ended February 28, 2023, compared to 70.2% during the three months ended February 28, 2022, and decreased to 66.6% during the six months ended February 28, 2023, compared to 69.4% during the prior fiscal year period primarily as a result of passing along price increases to customers and increased sales made to customers in the oil and gas industry, which products carry higher margins than our Zerust industrial products and Natur-Tec® products.</w:t>
      </w:r>
    </w:p>
    <w:p>
      <w:pPr>
        <w:spacing w:after="0" w:line="179" w:lineRule="exact"/>
        <w:rPr>
          <w:rFonts w:ascii="Times New Roman" w:cs="Times New Roman" w:eastAsia="Times New Roman" w:hAnsi="Times New Roman"/>
          <w:sz w:val="18"/>
          <w:szCs w:val="18"/>
          <w:color w:val="auto"/>
        </w:rPr>
      </w:pPr>
    </w:p>
    <w:p>
      <w:pPr>
        <w:ind w:left="1300" w:right="40" w:hanging="644"/>
        <w:spacing w:after="0" w:line="25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equity in income from joint ventures increased 22.3% and 0.9% during the three and six months ended February 28, 2023, respectively, to $1,128,731 and $2,318,135, respectively, compared to $922,832 and $2,297,581 during the three and six months ended February 28, 2022, respectively. These increases were primarily due to an improvement in gross margins and operating profits at the joint ventures. Net sales at the joint ventures increased 3.6% and decreased 2.7% to $25,482,590 and $50,212,879 during the three and six months ended February 28, 2023, respectively, compared to $24,601,767 and $51,624,762 during the three and six months ended February 28, 2022, respectively.</w:t>
      </w:r>
    </w:p>
    <w:p>
      <w:pPr>
        <w:spacing w:after="0" w:line="187" w:lineRule="exact"/>
        <w:rPr>
          <w:rFonts w:ascii="Times New Roman" w:cs="Times New Roman" w:eastAsia="Times New Roman" w:hAnsi="Times New Roman"/>
          <w:sz w:val="18"/>
          <w:szCs w:val="18"/>
          <w:color w:val="auto"/>
        </w:rPr>
      </w:pPr>
    </w:p>
    <w:p>
      <w:pPr>
        <w:ind w:left="1300" w:right="160" w:hanging="644"/>
        <w:spacing w:after="0" w:line="258"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11.7% and 11.8% to $7,497,356 and $15,392,113 during the three and six months ended February 28, 2023, respectively, compared to $6,708,853 and $13,778,779 for the three and six months ended February 28, 2022. These increases were primarily due to increased personnel expenses, including benefits and travel, and expenses incurred during the current fiscal year periods in connection with the startup of a new indirect, majority owned subsidiary formed to assume the operations of a former joint venture in Taiwan, partially offset by payroll tax credits.</w:t>
      </w:r>
    </w:p>
    <w:p>
      <w:pPr>
        <w:spacing w:after="0" w:line="183"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$885,248, or $0.09 per diluted common share, for the three months ended February 28, 2023, compared to $182,847, or $0.02 per diluted common share, for the three months ended February 28, 2022. NTIC incurred net income attributable to NTIC of $1,387,490 or $0.14 per diluted common share, for the six months ended February 28, 2023, compared to $4,676,606, or $0.48 per diluted common share, for the six months ended February 28, 2022. Of the net income attributable to NTIC incurred in the six months ended February 28, 2022, $3,951,550 was due to the gain from the Zerust India acquisition.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98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and six months ended February 28, 2023 and 2022.</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3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7"/>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t>
            </w:r>
          </w:p>
        </w:tc>
      </w:tr>
      <w:tr>
        <w:trPr>
          <w:trHeight w:val="238"/>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18,270,825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16,748,639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1,522,186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11,867,639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11,764,304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103,335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1,128,731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922,832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205,899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 joint</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1,252,746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1,246,909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3,418,717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2,971,391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447,326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3,084,189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2,518,788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565,401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994,450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1,218,674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432"/>
        </w:trPr>
        <w:tc>
          <w:tcPr>
            <w:tcW w:w="3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7"/>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t>
            </w:r>
          </w:p>
        </w:tc>
      </w:tr>
      <w:tr>
        <w:trPr>
          <w:trHeight w:val="238"/>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38,233,591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34,942,052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3,281,539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25,467,281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24,254,787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1,212,494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2,318,135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2,297,581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20,554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 joint</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2,434,551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2,505,767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6,926,151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6,209,149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717,002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6,214,788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5,115,135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1,099,653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2,251,174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2,454,495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(203,321)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9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9.1% and 9.4% to $18,270,825 and $38,223,591 during the three and six months ended February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respectively, compared to the three and six months ended February 28, 2022. These increases were primarily a result of increased demand across all market segments, including oil and gas, as well as targeted price increases on certain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and six months ended February 28,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14,458,747</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13,117,777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29,828,748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27,541,562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3,812,078</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3,630,862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8,394,843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7,400,490</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18,270,825</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16,748,639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38,223,591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34,942,052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February 28, 2023, 79.1% and 78.0% of NTIC’s consolidated net sales, respectively, were derived from sales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products and services, which increased 10.2% and 8.3% to $14,458,747 and $29,828,748, respectively, compared to $13,117,777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$27,541,562 during the three and six months ended February 28, 2022, respectively. These increases were primarily a result of increased demand in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as well as targeted price increases on certain products.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and six months ended February 28,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26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12,653,512</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12,539,856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113,656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1,805,235</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577,921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1,227,314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14,458,747</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13,117,777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1,340,970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26,401,616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25,991,825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409,791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3,427,132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1,549,737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1,877,395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29,828,748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27,541,562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2,287,186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NTIC’s total ZERUST® net sales increased during the three and six months ended February 28, 2023, compared to the prior fiscal year periods, primarily due to increased sales to new and existing oil and gas customers. Overall, demand for ZERUST® products and services depends heavily on the overall health of the markets in which NTIC sells its products, including the automotive, oil and gas, agriculture, and mining markets in particular.</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ZERUST® oil and gas net sales increased 212.4% and 121.1% during the three and six months ended February 28, 2023 compared to the prior fiscal year periods primarily as a result of new opportunities with new and existing customers.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February 28, 2023, 20.9% and 22.0% of NTIC’s consolidated net sales, respectively, were derived from sales of Natur-Tec® products, compared to 21.7% and 21.2% during the three and six months ended February 28, 2022, respectively. Sales of Natur-Tec® products increased 5.0% and 13.4% to $3,812,078 and $8,394,843 during the three and six months ended February 28, 2023, respectively, compared $3,630,862 and $7,400,490 during the three and six months ended February 28, 2022, respectively, as a result of increased global demand. COVID-19 adversely impacted demand for Natur-Tec® products from across the apparel industry, as well as many large users of bioplastics, including college campuses, stadiums, arenas, restaurants, and corporate office complexes. While NTIC has experienced a recovery in many of these areas to pre-pandemic levels, NTIC still expects some of these customers will be the last businesses to fully re-open and operate at full pre-pandemic capacities.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0.9% and 5.0% for the three and six months ended February 28, 2023, respectively,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six months ended February 28, 2022 primarily as a result of the increase in net sales, as described above. Cost of goods sold as a percentage of net sales decreased to 65.0% and 66.6% for the three and six months ended February 28, 2023, compared to 70.2% and 69.4% for the three and six months ended February 28, 2022 primarily as a result of passing along price increases to customers and increased sales made to customers in the oil and gas industry, which products carry higher margins than our Zerust industrial products. Although NTIC has taken certain actions to address inflationary pressures and pass on related cost increases to its customers, it expects some of these inflationary pressures to persist through the end of fiscal 2023. Some improvements from these actions as well as some improvements in gross margin were realized in the six months ended February 28, 2023.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increased 22.3% and 0.9% during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2023, respectively, to $1,128,731 and $2,318,135, respectively, compared to $922,832 and $2,297,581 during the three and six months ended February 28, 2022, respectively. These increases were primarily due an improvement in gross margins and operating profits at the joint ventures. NTIC’s equity in income from joint ventures fluctuates based on net sales and profitability of the joint ventures during the respective periods. Of the total equity in income from joint ventures, NTIC had equity in income from joint ventures of $1,547,944 attributable to EXCOR during the six months ended February 28, 2023, compared to $1,499,821 attributable to EXCOR during the six months ended February 28, 2022. NTIC had equity in income from all other joint ventures of $770,191 during the six months ended February 28, 2023, compared to $797,760 during the six months ended February 28,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$1,252,746 and $2,434,551 during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and six months ended February 28, 2023, respectively, compared to $1,246,909 and $2,505,767 during the three and six months ended February 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respectively, representing increases of 0.5% and a decrease of 2.8%, respectively. Fee income for services provided to joint ventures is traditionally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function of the sales made by NTIC’s joint ventures; however, at various joint ventures, the fee income for services is a fixed amount that does not fluctuate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change in sales experienced by certain joint ventures. Net sales at the joint ventures increased 3.6% and decreased 2.7% to $25,482,590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$50,212,879 during the three and six months ended February 28, 2023, respectively, compared to $24,601,767 and $51,624,762 during the three and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February 28, 2022, respectively. Net sales of NTIC’s joint ventures are not included in NTIC’s product sales and are not included in NTIC’s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Of the total fee income for services provided to joint ventures, fees of $396,792 were attributable to EXCOR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February 28, 2023, compared to $435,422 attributable to EXCOR during the six months ended February 28, 2022.</w:t>
      </w:r>
    </w:p>
    <w:p>
      <w:pPr>
        <w:spacing w:after="0" w:line="20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15.1% and 11.5% for the three and six months ended February 28, 2023, respectively,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respective periods in fiscal 2022 due primarily to an increase personnel expense during the current fiscal year period compared to the prior fiscal year period, and expenses incurred during the current fiscal year periods in connection with the startup of a new indirect, majority owned subsidiary formed to assume the operations of a former joint venture in Taiwan, partially offset by payroll tax credits. Selling expenses as a percentage of net sales increased to 18.7% and 18.1% for the three and six months ended February 28, 2023, respectively, from 17.7% and 17.8% for the three and six months ended February 28, 2022, respectively, primarily due to the increased selling expenses as noted above.</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22.4% and 21.5%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2023, respectively, compared to the same respective periods in fiscal 2022 due primarily to increased professional services and travel and personnel expenses during the current fiscal year periods compared to the prior fiscal year periods, as well as expenses incurred during the current fiscal year periods in connection with the startup of a new indirect, majority owned subsidiary formed to assume the operations of a former joint venture in Taiwan, partially offset by payroll tax credits. As a percentage of net sales, general and administrative expenses increased to 16.9% and 16.3% for the three and six months ended February 28, 2023, respectively, from 15.0% and 14.6% for the same respective periods in fiscal 2022 primarily due to the increase in general and administrative expenses as noted above.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4" w:name="page25"/>
    <w:bookmarkEnd w:id="24"/>
    <w:p>
      <w:pPr>
        <w:jc w:val="both"/>
        <w:ind w:right="60"/>
        <w:spacing w:after="0" w:line="315" w:lineRule="auto"/>
        <w:rPr>
          <w:sz w:val="20"/>
          <w:szCs w:val="20"/>
          <w:color w:val="auto"/>
        </w:rPr>
      </w:pPr>
      <w:r>
        <w:rPr>
          <w:rFonts w:ascii="Times New Roman" w:cs="Times New Roman" w:eastAsia="Times New Roman" w:hAnsi="Times New Roman"/>
          <w:sz w:val="17"/>
          <w:szCs w:val="17"/>
          <w:i w:val="1"/>
          <w:iCs w:val="1"/>
          <w:color w:val="auto"/>
        </w:rPr>
        <w:t>Research and Development Expenses</w:t>
      </w:r>
      <w:r>
        <w:rPr>
          <w:rFonts w:ascii="Times New Roman" w:cs="Times New Roman" w:eastAsia="Times New Roman" w:hAnsi="Times New Roman"/>
          <w:sz w:val="17"/>
          <w:szCs w:val="17"/>
          <w:color w:val="auto"/>
        </w:rPr>
        <w:t>. NTIC’s research and development expenses decreased 18.4% and 8.3% for the three and six months ended February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28, 2023, respectively, compared to the same respective periods in fiscal 2022 primarily due to decreases in expenses associated with development efforts.</w:t>
      </w:r>
    </w:p>
    <w:p>
      <w:pPr>
        <w:spacing w:after="0" w:line="135"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NTIC’s interest income decreased to $3,451 and $9,619 during the three and six months ended February 28, 2023, respectively,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$9,909 and $20,852 during the three and six months ended February 28, 2022, respectively, due primarily to changes in the invested cash balances.</w:t>
      </w:r>
    </w:p>
    <w:p>
      <w:pPr>
        <w:spacing w:after="0" w:line="13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$115,144 and $206,475 during the three and six months ended February 28, 2023,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$7,404 and $10,295 during the three and six months ended February 28, 2022, respectively, due primarily to increased outstanding borrowings under the line of credit and increased interest rates, in each case during the current fiscal year periods compared to the prior fiscal year periods.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Remeasurement Gain on Acquisition of Equity Method Investee</w:t>
      </w:r>
      <w:r>
        <w:rPr>
          <w:rFonts w:ascii="Times New Roman" w:cs="Times New Roman" w:eastAsia="Times New Roman" w:hAnsi="Times New Roman"/>
          <w:sz w:val="18"/>
          <w:szCs w:val="18"/>
          <w:color w:val="auto"/>
        </w:rPr>
        <w:t>. Authoritative guidance on accounting for business combinations requires that an acquirer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 its previously held equity interest in the acquisition at its acquisition date fair value and recognize the resulting gain or loss in earnings. As such, since NTIC acquired the remaining 50% ownership interest of Zerust India effective September 1, 2021, NTIC recognized a gain of $3,951,550 during the six months ended February 28, 2022. This gain is included in “Remeasurement gain on acquisition of equity method investee” on NTIC’s consolidated statements of operations. There was no comparable gain during the current fiscal year period.</w:t>
      </w:r>
    </w:p>
    <w:p>
      <w:pPr>
        <w:spacing w:after="0" w:line="18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$1,175,614 and $1,920,027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2023, respectively, compared to $447,728 and $5,673,941 for the three and six months ended February 28,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$181,795 and $292,528 for the three and six months ended February 28, 2023, respectively, compared to</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$151,743 and $656,123 during the three and six months ended February 28, 2022, respectively. Income tax expense was calculated based on management’s estimate of NTIC’s annual effective income tax rate.</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$20,493,861 and $21,256,923 as of February 28, 2023, and August 31, 2022,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increased to $885,248, or $0.09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2023, compared to $182,847, or $0.02 per diluted common share, for the three months ended February 28, 2022. This increase was a result of the increase in gross profit and joint venture income contribution, partially offset by the increase in operating expenses. Net income attributable to NTIC decreased to $1,387,490, or $0.14 per diluted common share, for the six months ended February 28, 2023, compared to $4,676,606, or $0.48 per diluted common share, for the six months ended February 28, 2022. This decrease was primarily due to the $3,951,550 remeasurement gain on acquisition of equity method investee recognized during the prior fiscal year periods, which did not repeat this fiscal year, and to a lesser extent, the increase in operating expenses, partially offset by the increase in gross profit.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5" w:name="page26"/>
    <w:bookmarkEnd w:id="25"/>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COVID-19,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and six months ended February 28, 2023 compared to the same periods in fiscal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$23,998,313 as of February 28,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$5,451,111 in cash and cash equivalents, compared to $23,169,480 as of August 31, 2022, including $5,333,890 in cash and cash equivalents and $5,590 in available for sale securities.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January 6, 2023, NTIC entered into a Credit Agreement (the “Credit Agreement”) with JPMorgan Chase Bank, N.A. (“JPM”), which provides NTIC with a senior secured revolving line of credit (the “Credit Facility”) of up to $10.0 million. The Credit Facility includes a $5.0 million sublimit for standby letters of credit. Borrowings of $7,100,000 were outstanding under the Credit Facility as of February 28, 2023.</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Unless terminated earlier, the Credit Facility will mature on January 6, 2024, and the principal amount thereunder, together with all accrued unpaid interest and other amounts owing thereunder, if any, will be payable in full on such date.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to JPM a continuing security interest in all of its right, title and interested in collateral made up for the assets of the Company.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ind w:right="40"/>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 As of February 28, 2023, NTIC was in compliance with all debt covenants under the Credit Agreement.</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Credit Agreement described above, on January 6, 2023, the Amended and Restated Loan Agreement dated August 31, 2021 between Northern Technologies International Corporation and PNC Bank, National Association was terminated.</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2023, NTIC expects to continue to invest directly and through its use of working capital in Zerust India, NTIC China, Zerust Mexico,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NTIC also expects to use some of its capital resources to continue to transition some of its joint ventures as needed or appropriate, which may include additional acquisitions by NTIC of the remaining ownership interests of joint ventures not owned by NTIC, the formation of one or more new subsidiaries to assume the operations of a joint venture, and dissolutions or liquidations of one or more of its joint ventures. Some of these joint venture transitions may materially impact NTIC’s results of operations for a particular reporting period. For example, the formation of a new indirect, majority owned subsidiary of NTIC to assume the operations of a former joint venture increased NTIC’s operating expenses during the six months ended February 28, 2023.</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Uses of Cash and Cash Flows</w:t>
      </w:r>
      <w:r>
        <w:rPr>
          <w:rFonts w:ascii="Times New Roman" w:cs="Times New Roman" w:eastAsia="Times New Roman" w:hAnsi="Times New Roman"/>
          <w:sz w:val="18"/>
          <w:szCs w:val="18"/>
          <w:color w:val="auto"/>
        </w:rPr>
        <w:t>. Net cash provided by operating activities during the six months ended February 28, 2023 was $2,204,834, which resulted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principally from NTIC’s net income, dividends received from joint ventures, depreciation and amortization expense, and 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equity in income from joint ventures. Net cash provided by operating activities during the six months ended February 28, 2022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$2,118,728, which resulted principally from NTIC’s net income, dividends received from joint ventures, deferred income tax, depreciation and amortization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and stock-based compensation, partially offset by the remeasurement gain on acquisition of equity method investee and equity in income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ventures.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NTIC experienced an increase in trade receivables and a decrease in inventory as of February 28, 2023, compared to August 31, 2022. Trade receivables, excluding joint ventures, as of February 28, 2023, increased $538,087 compared to August 31, 2022, primarily related to correlating increases to sales.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increased an average of 8 days to an average of 75 days from balances outstanding from these customers as of February 28, 2023 from an average of 67 days as of August 31, 2022.</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Outstanding trade receivables from joint ventures as of February 28, 2023 increased $917,073 compared to August 31, 2022, primarily due to the timing of payments. Outstanding balances from trade receivables from joint ventures increased an average of 166 days to an average of 256 days from balances outstanding from these customers as of February 28, 2023 from an average of 90 days as of August 31, 2022. The significant increase in outstanding balances from trade receivables from joint ventures was due to the timing of a large order, that was subsequently collected. The average days outstanding of trade receivables from joint ventures as of February 28, 2023 were primarily due to the receivables balances at NTIC’s joint ventures in Sweden, France, South Korea and Thailand.</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February 28, 2023 decreased $656,210 compared to August 31, 2022, and the average days to pay increased an average of 4 days to an average of 80 days from an average of 84 days as of August 31,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ind w:right="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February 28, 2023 and 2022 was $1,923,336 and $5,792,833, respectively, which was primarily the result of the purchase of property and equipment, and investments in patents, and in the case of the prior year period, the purchase of the remaining 50% ownership interest in Zerust India.</w:t>
      </w:r>
    </w:p>
    <w:p>
      <w:pPr>
        <w:spacing w:after="0" w:line="17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February 28, 2023 was $111,605, which resulted from dividends paid to shareholders and dividends received by non-controlling interests, partially offset by proceeds from the exercise of stock options, borrowings under the line of credit and proceeds from NTIC’s employee stock purchase plan. Net cash used in financing activities for the six months ended February 28, 2022 was $2,786,371, which resulted from borrowings under the line of credit and proceeds from NTIC’s employee stock purchase plan and the exercise of stock options, partially offset by dividends paid to shareholders and dividends received by non-controlling interests.</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No repurchases occurred during the six months ended February 28, 2023. As of February 28, 2023, up to $2,640,548 in shares of NTIC common stock remained available for repurchase under NTIC’s stock repurchase program.</w:t>
      </w:r>
    </w:p>
    <w:p>
      <w:pPr>
        <w:spacing w:after="0" w:line="180"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During the six months ended February 28, 2023, NTIC’s Board of Directors declared cash dividends on the following dates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amounts to the following holders of NTIC’s common stock: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2022</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2022</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16, 2022</w:t>
            </w: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 2023</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 2023</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2023</w:t>
            </w:r>
          </w:p>
        </w:tc>
      </w:tr>
    </w:tbl>
    <w:p>
      <w:pPr>
        <w:spacing w:after="0" w:line="1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2022, NTIC’s Board of Directors declared cash dividends on the following dates in the following amounts to the following holders of NTIC’s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2021</w:t>
            </w:r>
          </w:p>
        </w:tc>
        <w:tc>
          <w:tcPr>
            <w:tcW w:w="28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2021</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17, 2021</w:t>
            </w:r>
          </w:p>
        </w:tc>
      </w:tr>
      <w:tr>
        <w:trPr>
          <w:trHeight w:val="234"/>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2022</w:t>
            </w:r>
          </w:p>
        </w:tc>
        <w:tc>
          <w:tcPr>
            <w:tcW w:w="2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$0.07</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2022</w:t>
            </w: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2022</w:t>
            </w:r>
          </w:p>
        </w:tc>
      </w:tr>
    </w:tbl>
    <w:p>
      <w:pPr>
        <w:spacing w:after="0" w:line="1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spacing w:after="0" w:line="17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$1,871,903 on capital expenditures during the six months ended February 28, 2023,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a new warehouse facility, equipment and facility improvements, including the purchase of the property immediately adjacent to NTIC’s headquarters in Circle Pines, Minnesota, which includes a 26,000 square foot industrial building, and related renovations. The building will be used primarily for warehousing space and light industrial production. NTIC expects to spend an aggregate of approximately $2,000,000 to $2,500,000 on capital expenditures during fiscal 2023, which it expects will relate primarily to the purchase of the new warehouse facility, equipment and facility improvements, including approximately $700,000 in renovations on the property and building described above.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inflation in the United States and abroad historically has had little effect on NTIC, inflationary pressures adversely affected NTIC’s gross margins during the first six months of fiscal 2023 and are expected to persist into at least the third quarter of fiscal 2023. NTIC believes there is some seasonality in its business. NTIC’s net sales in the second fiscal quarter were adversely affected by the long Chinese New Year, the North American holiday season and overall less corrosion taking place at lower winter temperatures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Any outstanding advances under NTIC’s Credit Facility with JPM bear interest at a floating rate, at the option of NTIC, equal to either the CB Floating Rate or the Adjusted SOFR Rate, as defined above. Borrowings of $7,100,000 were outstanding under the Credit Facility as of February 28,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included in NTIC’s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acquisition of Zerust India on NTIC’s business, operating results and financial condition,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right="2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right="6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issues on NTIC’s business, operating results and financial condition, which will likely continue through the end of fiscal 2023, regardless of the status of COVID-19;</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NTIC’s business, operating results and financial condition, including in particular in China, and disruption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jc w:val="both"/>
        <w:ind w:left="980" w:right="20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inflation, recessionary indicators and any turmoil and disruption in the global credit, financial and banking markets or the perception of adverse conditions on NTIC’s business and the business of NTIC’s customers, supplier, vendors and other third parties with whom NTIC conducts business;</w:t>
      </w:r>
    </w:p>
    <w:p>
      <w:pPr>
        <w:spacing w:after="0" w:line="175" w:lineRule="exact"/>
        <w:rPr>
          <w:rFonts w:ascii="Times New Roman" w:cs="Times New Roman" w:eastAsia="Times New Roman" w:hAnsi="Times New Roman"/>
          <w:sz w:val="18"/>
          <w:szCs w:val="18"/>
          <w:color w:val="auto"/>
        </w:rPr>
      </w:pPr>
    </w:p>
    <w:p>
      <w:pPr>
        <w:jc w:val="both"/>
        <w:ind w:left="980" w:right="4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war between Russia and Ukraine, and the effect of the war and the resulting sanctions by U.S. and European governments on commodity price fluctuations, which have decreased our margins and the margins of our joint ventures and resulted in decreased joint venture profitability, which will likely continue through the end of fiscal 2023;</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 including trade or other issues that may result from increasing tensions between the U.S. and China;</w:t>
      </w:r>
    </w:p>
    <w:p>
      <w:pPr>
        <w:spacing w:after="0" w:line="161"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7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United Kingdom’s process to exit the European Union on NTIC’s operating results, including, in particular, future net sales of NTIC’s European and other joint ventures;</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health of the U.S. automotive industry on NTIC’s business and the evolution of the automotive industry towards electric vehicles;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acquisition of the remaining 50% ownership interest in its Indian joint venture, Zerust India;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1" w:name="page32"/>
    <w:bookmarkEnd w:id="31"/>
    <w:p>
      <w:pPr>
        <w:ind w:left="324" w:right="600" w:hanging="324"/>
        <w:spacing w:after="0" w:line="312" w:lineRule="auto"/>
        <w:tabs>
          <w:tab w:leader="none" w:pos="32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39" w:lineRule="exact"/>
        <w:rPr>
          <w:rFonts w:ascii="Times New Roman" w:cs="Times New Roman" w:eastAsia="Times New Roman" w:hAnsi="Times New Roman"/>
          <w:sz w:val="17"/>
          <w:szCs w:val="17"/>
          <w:color w:val="auto"/>
        </w:rPr>
      </w:pPr>
    </w:p>
    <w:p>
      <w:pPr>
        <w:ind w:left="324" w:right="340"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including supply chain disruptions and weather related impacts;</w:t>
      </w:r>
    </w:p>
    <w:p>
      <w:pPr>
        <w:spacing w:after="0" w:line="161" w:lineRule="exact"/>
        <w:rPr>
          <w:rFonts w:ascii="Times New Roman" w:cs="Times New Roman" w:eastAsia="Times New Roman" w:hAnsi="Times New Roman"/>
          <w:sz w:val="18"/>
          <w:szCs w:val="18"/>
          <w:color w:val="auto"/>
        </w:rPr>
      </w:pPr>
    </w:p>
    <w:p>
      <w:pPr>
        <w:ind w:left="324" w:right="80" w:hanging="324"/>
        <w:spacing w:after="0" w:line="266"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324" w:right="40"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the ongoing war between Russia and Ukraine;</w:t>
      </w:r>
    </w:p>
    <w:p>
      <w:pPr>
        <w:spacing w:after="0" w:line="161" w:lineRule="exact"/>
        <w:rPr>
          <w:rFonts w:ascii="Times New Roman" w:cs="Times New Roman" w:eastAsia="Times New Roman" w:hAnsi="Times New Roman"/>
          <w:sz w:val="18"/>
          <w:szCs w:val="18"/>
          <w:color w:val="auto"/>
        </w:rPr>
      </w:pPr>
    </w:p>
    <w:p>
      <w:pPr>
        <w:ind w:left="324" w:right="60"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324" w:right="340" w:hanging="324"/>
        <w:spacing w:after="0" w:line="282" w:lineRule="auto"/>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 and the need to hire and train local support in a timely manner in order to support customer needs;</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580" w:right="399" w:bottom="1440" w:gutter="0" w:footer="0" w:header="0"/>
        </w:sectPr>
      </w:pPr>
    </w:p>
    <w:bookmarkStart w:id="32" w:name="page33"/>
    <w:bookmarkEnd w:id="32"/>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joint venture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2022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3" w:name="page34"/>
    <w:bookmarkEnd w:id="33"/>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Any outstanding advances under NTIC’s Credit Facility with JPM bear interest at a floating rate, at the option of NTIC, equal to either the CB Floating Rate or the Adjusted SOFR Rate, as defined above. Borrowings of $7,100,000 were outstanding under the Credit Facility as of February 28, 2023.</w:t>
      </w:r>
    </w:p>
    <w:p>
      <w:pPr>
        <w:spacing w:after="0" w:line="13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February 28, 2023 that has materially affected or is reasonably likely to materially affect NTIC’s internal control over financial reporting, other than changes implemented to continue integrating Zerust India’s internal controls with NTIC’s internal controls.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Although Item 1A. is inapplicable to NTIC as a smaller reporting company, NTIC hereby discloses the following revised risk factor described in its annual report on Form 10-K for the fiscal year ended August 31, 2021:</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NTIC China may be adversely affected by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evolving economic, political, and social conditions as well as increasing tensions between the United States and China.</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results of operations and future prospects of NTIC China may be adversely affected by, among other things, changes in China’s political, economic, and social conditions,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changes in the rates or methods of taxation, and increasing tensions between the United States and China. In addition, changes in demand could result from increased competition with local Chinese manufacturers who have cost advantages or who may be preferred suppliers for Chinese end users. Also, Chinese commercial laws, regulations, and interpretations applicable to non-Chinese owned market participants, such as NTIC China, are continually changing, and such changes may require NTIC China to change how it conducts its business. These laws, regulations, and interpretations could impose restrictions on NTIC’s and NTIC China’s ownership or operations or NTIC’s interests in China and could adversely affect NTIC’s business, results of operations, and financial condition.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Local regulations in China related to the electric power shortage that began in 2021 may adversely affect NTIC China’s operations or the operations of our suppliers with facilities in China. For example, these regulations could result in partial or complete factory shutdowns due to a lack of continuous supply of electrical power. Additionally, the price of electric power may be increased, and peak-demand periods during which prices are higher may be extended by local governments. Certain of our resin suppliers with facilities in China were adversely impacted by these regulations, which contributed to constrained supply. Although NTIC China’s operations have not been significantly impacted by regulations related to electric power shortages to date, such regulations may in the future decrease or shut down production or increase product costs, which could adversely affect NTIC’s business, results of operations, and financial condition.</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28, 2023, NTIC did not issue any shares of its common stock or other equity securities of NTIC that were not registered under the Securities Act of 1933, as amended.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shows NTIC’s second quarter of fiscal 2023 stock repurchase activity.</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(or Units)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Part</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Publicly</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Under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the Plans</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2022, through December 31, 2022</w:t>
            </w:r>
          </w:p>
        </w:tc>
        <w:tc>
          <w:tcPr>
            <w:tcW w:w="13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2023, through January 31, 2023</w:t>
            </w:r>
          </w:p>
        </w:tc>
        <w:tc>
          <w:tcPr>
            <w:tcW w:w="13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2023, through February 28, 2023</w:t>
            </w:r>
          </w:p>
        </w:tc>
        <w:tc>
          <w:tcPr>
            <w:tcW w:w="13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45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(1)(2)</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ind w:left="660" w:right="280" w:hanging="652"/>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5" w:lineRule="exact"/>
        <w:rPr>
          <w:rFonts w:ascii="Times New Roman" w:cs="Times New Roman" w:eastAsia="Times New Roman" w:hAnsi="Times New Roman"/>
          <w:sz w:val="18"/>
          <w:szCs w:val="18"/>
          <w:color w:val="auto"/>
        </w:rPr>
      </w:pPr>
    </w:p>
    <w:p>
      <w:pPr>
        <w:ind w:left="660" w:right="30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28, 2023,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300" w:type="dxa"/>
            <w:vAlign w:val="bottom"/>
            <w:tcBorders>
              <w:bottom w:val="single" w:sz="8" w:color="auto"/>
            </w:tcBorders>
            <w:gridSpan w:val="7"/>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460" w:type="dxa"/>
            <w:vAlign w:val="bottom"/>
            <w:gridSpan w:val="2"/>
          </w:tcPr>
          <w:p>
            <w:pPr>
              <w:spacing w:after="0"/>
              <w:rPr>
                <w:sz w:val="24"/>
                <w:szCs w:val="24"/>
                <w:color w:val="auto"/>
              </w:rPr>
            </w:pPr>
          </w:p>
        </w:tc>
        <w:tc>
          <w:tcPr>
            <w:tcW w:w="2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Restated Certificate of Incorporation of Northern Technologies International Corporation, dated January 31, 2023 (filed herewith)</w:t>
            </w:r>
          </w:p>
        </w:tc>
        <w:tc>
          <w:tcPr>
            <w:tcW w:w="540" w:type="dxa"/>
            <w:vAlign w:val="bottom"/>
            <w:gridSpan w:val="5"/>
          </w:tcPr>
          <w:p>
            <w:pPr>
              <w:spacing w:after="0"/>
              <w:rPr>
                <w:sz w:val="24"/>
                <w:szCs w:val="24"/>
                <w:color w:val="auto"/>
              </w:rPr>
            </w:pPr>
          </w:p>
        </w:tc>
      </w:tr>
      <w:tr>
        <w:trPr>
          <w:trHeight w:val="412"/>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Credit Agreement between JPMorgan Chase Bank, N.A. and Northern Technologies International Corporation, dated December 19,</w:t>
            </w:r>
          </w:p>
        </w:tc>
      </w:tr>
      <w:tr>
        <w:trPr>
          <w:trHeight w:val="196"/>
        </w:trPr>
        <w:tc>
          <w:tcPr>
            <w:tcW w:w="4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2022 (filed herewith)</w:t>
            </w:r>
          </w:p>
        </w:tc>
        <w:tc>
          <w:tcPr>
            <w:tcW w:w="400" w:type="dxa"/>
            <w:vAlign w:val="bottom"/>
            <w:gridSpan w:val="4"/>
          </w:tcPr>
          <w:p>
            <w:pPr>
              <w:spacing w:after="0"/>
              <w:rPr>
                <w:sz w:val="17"/>
                <w:szCs w:val="17"/>
                <w:color w:val="auto"/>
              </w:rPr>
            </w:pPr>
          </w:p>
        </w:tc>
      </w:tr>
      <w:tr>
        <w:trPr>
          <w:trHeight w:val="20"/>
        </w:trPr>
        <w:tc>
          <w:tcPr>
            <w:tcW w:w="11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President and Chief Executive Officer pursuant to SEC Rule 13a-14(a), as adopted pursuant to Section 302 of the</w:t>
            </w:r>
          </w:p>
        </w:tc>
      </w:tr>
      <w:tr>
        <w:trPr>
          <w:trHeight w:val="196"/>
        </w:trPr>
        <w:tc>
          <w:tcPr>
            <w:tcW w:w="4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(filed herewith)</w:t>
            </w:r>
          </w:p>
        </w:tc>
        <w:tc>
          <w:tcPr>
            <w:tcW w:w="580" w:type="dxa"/>
            <w:vAlign w:val="bottom"/>
            <w:gridSpan w:val="6"/>
          </w:tcPr>
          <w:p>
            <w:pPr>
              <w:spacing w:after="0"/>
              <w:rPr>
                <w:sz w:val="17"/>
                <w:szCs w:val="17"/>
                <w:color w:val="auto"/>
              </w:rPr>
            </w:pPr>
          </w:p>
        </w:tc>
      </w:tr>
      <w:tr>
        <w:trPr>
          <w:trHeight w:val="20"/>
        </w:trPr>
        <w:tc>
          <w:tcPr>
            <w:tcW w:w="11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 Rule 13a-14(a), as adopted pursuant to Section 302 of the Sarbanes-Oxley Act</w:t>
            </w:r>
          </w:p>
        </w:tc>
      </w:tr>
      <w:tr>
        <w:trPr>
          <w:trHeight w:val="196"/>
        </w:trPr>
        <w:tc>
          <w:tcPr>
            <w:tcW w:w="4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of 2002 (filed herewith)</w:t>
            </w:r>
          </w:p>
        </w:tc>
        <w:tc>
          <w:tcPr>
            <w:tcW w:w="140" w:type="dxa"/>
            <w:vAlign w:val="bottom"/>
          </w:tcPr>
          <w:p>
            <w:pPr>
              <w:spacing w:after="0"/>
              <w:rPr>
                <w:sz w:val="17"/>
                <w:szCs w:val="17"/>
                <w:color w:val="auto"/>
              </w:rPr>
            </w:pPr>
          </w:p>
        </w:tc>
      </w:tr>
      <w:tr>
        <w:trPr>
          <w:trHeight w:val="20"/>
        </w:trPr>
        <w:tc>
          <w:tcPr>
            <w:tcW w:w="11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President and Chief Executive Officer pursuant to 18 U.S.C. Section 1350, as adopted pursuant to Section 906 of the</w:t>
            </w:r>
          </w:p>
        </w:tc>
      </w:tr>
      <w:tr>
        <w:trPr>
          <w:trHeight w:val="196"/>
        </w:trPr>
        <w:tc>
          <w:tcPr>
            <w:tcW w:w="4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 (furnished herewith)</w:t>
            </w:r>
          </w:p>
        </w:tc>
        <w:tc>
          <w:tcPr>
            <w:tcW w:w="5960" w:type="dxa"/>
            <w:vAlign w:val="bottom"/>
            <w:tcBorders>
              <w:top w:val="single" w:sz="8" w:color="0000EE"/>
            </w:tcBorders>
            <w:gridSpan w:val="4"/>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412"/>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42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7300" w:type="dxa"/>
            <w:vAlign w:val="bottom"/>
            <w:tcBorders>
              <w:top w:val="single" w:sz="8" w:color="0000EE"/>
            </w:tcBorders>
            <w:gridSpan w:val="7"/>
          </w:tcPr>
          <w:p>
            <w:pPr>
              <w:spacing w:after="0"/>
              <w:rPr>
                <w:sz w:val="17"/>
                <w:szCs w:val="17"/>
                <w:color w:val="auto"/>
              </w:rPr>
            </w:pPr>
          </w:p>
        </w:tc>
        <w:tc>
          <w:tcPr>
            <w:tcW w:w="200" w:type="dxa"/>
            <w:vAlign w:val="bottom"/>
            <w:gridSpan w:val="2"/>
          </w:tcPr>
          <w:p>
            <w:pPr>
              <w:spacing w:after="0"/>
              <w:rPr>
                <w:sz w:val="17"/>
                <w:szCs w:val="17"/>
                <w:color w:val="auto"/>
              </w:rPr>
            </w:pPr>
          </w:p>
        </w:tc>
      </w:tr>
    </w:tbl>
    <w:p>
      <w:pPr>
        <w:spacing w:after="0" w:line="225" w:lineRule="exact"/>
        <w:rPr>
          <w:sz w:val="20"/>
          <w:szCs w:val="20"/>
          <w:color w:val="auto"/>
        </w:rPr>
      </w:pPr>
    </w:p>
    <w:p>
      <w:pPr>
        <w:ind w:left="1360" w:right="40" w:hanging="920"/>
        <w:spacing w:after="0" w:line="258" w:lineRule="auto"/>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NTIC’s Quarterly Report on Form 10-Q for the fiscal quarter ended February 28, 2023, formatted in Inline XBRL (Extensible Business Reporting Language): (i) the unaudited Consolidated Balance Sheets, (ii) the unaudited Consolidated Statements of Operations, (iii) the unaudited Consolidated Statements of Comprehensive Income, (iv) the unaudited Consolidated Statements of Equity, (v) the unaudited Consolidated Statements of Cash Flows, and (vi) Notes to Consolidated Financial Statements (filed herewith)</w:t>
      </w:r>
    </w:p>
    <w:p>
      <w:pPr>
        <w:spacing w:after="0" w:line="183" w:lineRule="exact"/>
        <w:rPr>
          <w:sz w:val="20"/>
          <w:szCs w:val="20"/>
          <w:color w:val="auto"/>
        </w:rPr>
      </w:pPr>
    </w:p>
    <w:p>
      <w:pPr>
        <w:ind w:left="5540" w:right="3360" w:hanging="5100"/>
        <w:spacing w:after="0" w:line="532" w:lineRule="auto"/>
        <w:tabs>
          <w:tab w:leader="none" w:pos="13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NORTHERN TECHNOLOGIES INTERNATIONAL CORPORATION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right="3560" w:hanging="5615"/>
        <w:spacing w:after="0" w:line="273" w:lineRule="auto"/>
        <w:tabs>
          <w:tab w:leader="none" w:pos="5600" w:val="left"/>
        </w:tabs>
        <w:rPr>
          <w:sz w:val="20"/>
          <w:szCs w:val="20"/>
          <w:color w:val="auto"/>
        </w:rPr>
      </w:pPr>
      <w:r>
        <w:rPr>
          <w:rFonts w:ascii="Times New Roman" w:cs="Times New Roman" w:eastAsia="Times New Roman" w:hAnsi="Times New Roman"/>
          <w:sz w:val="18"/>
          <w:szCs w:val="18"/>
          <w:color w:val="auto"/>
        </w:rPr>
        <w:t>Date: April 13, 2023</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576" w:right="439" w:bottom="1440" w:gutter="0" w:footer="0" w:header="0"/>
        </w:sectPr>
      </w:pPr>
    </w:p>
    <w:bookmarkStart w:id="38" w:name="page39"/>
    <w:bookmarkEnd w:id="38"/>
    <w:p>
      <w:pPr>
        <w:spacing w:after="0" w:line="397"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64"/>
          <w:szCs w:val="64"/>
          <w:u w:val="single" w:color="auto"/>
          <w:color w:val="auto"/>
        </w:rPr>
        <w:t>Delaware</w:t>
      </w:r>
    </w:p>
    <w:p>
      <w:pPr>
        <w:spacing w:after="0" w:line="6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9"/>
          <w:szCs w:val="29"/>
          <w:color w:val="auto"/>
        </w:rPr>
        <w:t>The First 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pacing w:after="0" w:line="830" w:lineRule="exact"/>
        <w:rPr>
          <w:sz w:val="20"/>
          <w:szCs w:val="20"/>
          <w:color w:val="auto"/>
        </w:rPr>
      </w:pPr>
    </w:p>
    <w:p>
      <w:pPr>
        <w:sectPr>
          <w:pgSz w:w="11900" w:h="16838" w:orient="portrait"/>
          <w:cols w:equalWidth="0" w:num="2">
            <w:col w:w="9680" w:space="720"/>
            <w:col w:w="840"/>
          </w:cols>
          <w:pgMar w:left="320" w:top="11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right="300" w:firstLine="486"/>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 JEFFREY W. BULLOCK, SECRETARY OF STATE OF THE STATE OF DELAWARE, DO HEREBY CERTIFY THE ATTACHED IS A TRUE AND CORRECT COPY OF THE RESTATED CERTIFICATE OF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NORTHERN TECHNOLOGIES INTERNATIONAL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FILED IN THIS OFFICE ON THE THIRTY- FIRST DAY OF JANUARY, A.D. 2023, AT 9:47 O`CLOCK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610235</wp:posOffset>
            </wp:positionV>
            <wp:extent cx="1962785" cy="822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2785" cy="82296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1570355</wp:posOffset>
            </wp:positionV>
            <wp:extent cx="968375" cy="960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83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844552 8100</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Authentication: 202629480</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SR# 20230312706</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Date: 02-02-23</w:t>
            </w:r>
          </w:p>
        </w:tc>
      </w:tr>
      <w:tr>
        <w:trPr>
          <w:trHeight w:val="41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You may verify this certificate online at</w:t>
            </w:r>
          </w:p>
        </w:tc>
        <w:tc>
          <w:tcPr>
            <w:tcW w:w="5180" w:type="dxa"/>
            <w:vAlign w:val="bottom"/>
          </w:tcPr>
          <w:p>
            <w:pPr>
              <w:spacing w:after="0"/>
              <w:rPr>
                <w:sz w:val="24"/>
                <w:szCs w:val="24"/>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corp.delaware.gov/authver.shtml</w:t>
            </w:r>
          </w:p>
        </w:tc>
        <w:tc>
          <w:tcPr>
            <w:tcW w:w="5180" w:type="dxa"/>
            <w:vAlign w:val="bottom"/>
          </w:tcPr>
          <w:p>
            <w:pPr>
              <w:spacing w:after="0"/>
              <w:rPr>
                <w:sz w:val="20"/>
                <w:szCs w:val="20"/>
                <w:color w:val="auto"/>
              </w:rPr>
            </w:pPr>
          </w:p>
        </w:tc>
      </w:tr>
      <w:tr>
        <w:trPr>
          <w:trHeight w:val="601"/>
        </w:trPr>
        <w:tc>
          <w:tcPr>
            <w:tcW w:w="60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39" w:name="page40"/>
    <w:bookmarkEnd w:id="39"/>
    <w:p>
      <w:pPr>
        <w:jc w:val="center"/>
        <w:ind w:right="8960"/>
        <w:spacing w:after="0"/>
        <w:rPr>
          <w:sz w:val="20"/>
          <w:szCs w:val="20"/>
          <w:color w:val="auto"/>
        </w:rPr>
      </w:pPr>
      <w:r>
        <w:rPr>
          <w:rFonts w:ascii="Times New Roman" w:cs="Times New Roman" w:eastAsia="Times New Roman" w:hAnsi="Times New Roman"/>
          <w:sz w:val="18"/>
          <w:szCs w:val="18"/>
          <w:color w:val="auto"/>
        </w:rPr>
        <w:t>State of Delaware</w:t>
      </w:r>
    </w:p>
    <w:p>
      <w:pPr>
        <w:spacing w:after="0" w:line="27"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Secretary of State</w:t>
      </w:r>
    </w:p>
    <w:p>
      <w:pPr>
        <w:spacing w:after="0" w:line="9"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Division of Corporations</w:t>
      </w:r>
    </w:p>
    <w:p>
      <w:pPr>
        <w:spacing w:after="0" w:line="9"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Delivered 09:47 AM</w:t>
      </w:r>
    </w:p>
    <w:p>
      <w:pPr>
        <w:spacing w:after="0" w:line="9"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01/31/2023</w:t>
      </w:r>
    </w:p>
    <w:p>
      <w:pPr>
        <w:spacing w:after="0" w:line="9"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FILED 09:47AM 01/31/2023</w:t>
      </w:r>
    </w:p>
    <w:p>
      <w:pPr>
        <w:spacing w:after="0" w:line="9"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SR 20230312706 - File</w:t>
      </w:r>
    </w:p>
    <w:p>
      <w:pPr>
        <w:spacing w:after="0" w:line="9" w:lineRule="exact"/>
        <w:rPr>
          <w:sz w:val="20"/>
          <w:szCs w:val="20"/>
          <w:color w:val="auto"/>
        </w:rPr>
      </w:pPr>
    </w:p>
    <w:p>
      <w:pPr>
        <w:jc w:val="center"/>
        <w:ind w:right="8960"/>
        <w:spacing w:after="0"/>
        <w:rPr>
          <w:sz w:val="20"/>
          <w:szCs w:val="20"/>
          <w:color w:val="auto"/>
        </w:rPr>
      </w:pPr>
      <w:r>
        <w:rPr>
          <w:rFonts w:ascii="Times New Roman" w:cs="Times New Roman" w:eastAsia="Times New Roman" w:hAnsi="Times New Roman"/>
          <w:sz w:val="18"/>
          <w:szCs w:val="18"/>
          <w:color w:val="auto"/>
        </w:rPr>
        <w:t>Number 844552</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245 of the General Corporation Law of the State of Delaware)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Northern Technologies International Corporation, a corporation organized and existing under and by virtue of the provisions of the General Corporation Law of the State of Delaware (the "General Corporation Law"),</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DOES HEREBY CERTIFY:</w:t>
      </w:r>
    </w:p>
    <w:p>
      <w:pPr>
        <w:spacing w:after="0" w:line="225"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FIRST: That the name of this corporation is Northern Technologies International Corporation (the "Corporation") and that the Corporation was originally incorporated pursuant to the General Corporation Law on October 12, 1977 under the name Northern Instruments Corporation.</w:t>
      </w:r>
    </w:p>
    <w:p>
      <w:pPr>
        <w:spacing w:after="0" w:line="16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SECOND: That the Corporation's Restated Certificate of Incorporation only restates and integrates and does not further amend the provisions of the Corporation's Certificate of Incorporation as theretofore amended or supplemented, and there is no discrepancy between those provisions in the Corporation's Certificate of Incorporation and the provisions of the Corporation's Restated Certificate of Incorporation.</w:t>
      </w:r>
    </w:p>
    <w:p>
      <w:pPr>
        <w:spacing w:after="0" w:line="176"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THIRD: That the Board of Directors duly adopted resolutions approving the restatement and integration of the Corporation's Certificate of Incorporation pursuant to Section 245 of the General Corporation Law, declaring said restatement and integration to be advisable and in the best interests of the Corporation and its stockholders, which resolution setting forth the proposed restatement and integrations is as follows: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RESOLVED, that the Certificate of Incorporation of the Corporation be restated and integrated in its entirety as follows: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name of this Corporation is Northern Technologies International Corporation.</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both"/>
        <w:ind w:right="20" w:firstLine="504"/>
        <w:spacing w:after="0" w:line="282" w:lineRule="auto"/>
        <w:rPr>
          <w:sz w:val="20"/>
          <w:szCs w:val="20"/>
          <w:color w:val="auto"/>
        </w:rPr>
      </w:pPr>
      <w:r>
        <w:rPr>
          <w:rFonts w:ascii="Times New Roman" w:cs="Times New Roman" w:eastAsia="Times New Roman" w:hAnsi="Times New Roman"/>
          <w:sz w:val="18"/>
          <w:szCs w:val="18"/>
          <w:color w:val="auto"/>
        </w:rPr>
        <w:t>The address of its registered office in the State of Delaware is 1209 Orange Street, Corporation Trust Center, in the City of Wilmington, County of New Castle, 19801. The name of the Corporation's registered agent at such address is The Corporation Trust Company.</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left="640" w:right="20" w:hanging="161"/>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Corporation shall have the authority to issue Fifteen Million Ten Thousand (15,010,000) shares of stock divided into Fifteen Million (15,000,000) shares of Two Cent ($.02) par value common stock and Ten Thousand (10,000) shares of no par value preferred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ARTICLEV.</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Election of directors need not be by written ballot.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Corporation shall be managed by the Board of Directors, which shall exercise all powers conferred under the law of the State of Delaware, including without limitation the power:</w:t>
      </w:r>
    </w:p>
    <w:p>
      <w:pPr>
        <w:spacing w:after="0" w:line="162" w:lineRule="exact"/>
        <w:rPr>
          <w:sz w:val="20"/>
          <w:szCs w:val="20"/>
          <w:color w:val="auto"/>
        </w:rPr>
      </w:pPr>
    </w:p>
    <w:p>
      <w:pPr>
        <w:ind w:left="300" w:right="20" w:hanging="223"/>
        <w:spacing w:after="0" w:line="282" w:lineRule="auto"/>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meetings, to have one or more offices and to keep the books of the Corporation, except as otherwise expressly provided by law, at such places, whether within or without the State of Delaware, as may from time to time be designated by the Board.</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(b)To adopt, amend or repeal bylaws of the Corporation, subject to the reserved power of the stockholders to adopt, amend or repeal bylaws.</w:t>
      </w:r>
    </w:p>
    <w:p>
      <w:pPr>
        <w:spacing w:after="0" w:line="225" w:lineRule="exact"/>
        <w:rPr>
          <w:sz w:val="20"/>
          <w:szCs w:val="20"/>
          <w:color w:val="auto"/>
        </w:rPr>
      </w:pPr>
    </w:p>
    <w:p>
      <w:pPr>
        <w:ind w:left="300" w:right="20" w:hanging="223"/>
        <w:spacing w:after="0" w:line="282"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and determine from time to time an amount to be set apart out of any funds of the Corporation available for dividends a reserve or reserves for working capital or any other proper purpose or to abolish any such reserve or reserves.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director and officer, past or present, of the Corporation, and their respective heirs, administrators and executors, shall be indemnified by the Corporation in accordance with, and to the fullest extent provided by, the provisions of the Delaware General Corporation Laws as they may from time to time be amended.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prov1s1on contained in this Restated Certificate of Incorporation, in the manner now or hereafter prescribed by statute, and all rights conferred upon stockholders herein are granted subject to this reservation.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director or officer of the Corporation shall be personally liable to the Corporation or its stockholders for monetary damages for any breach of fiduciary duty by such a director or officer as a director or officer, respectively, except to the extent provided by applicable law (i) for any breach of the director's or officer's duty of loyalty to the Corporation or its stockholders, (ii) for acts or omissions not in good faith or which involve intentional misconduct or a knowing violation of law, (iii) pursuant to Section 174 of the General Corporation Law of Delaware, in the case of directors only, (iv) for any transaction from which such director or officer derived an improper personal benefit, or (v) for any action by or in the right of the Corporation, in the case of officers only. If the General Corporation Law of Delaware is amended to authorize corporate action further eliminating or limiting the personal liability of directors or officers, then the liability of a director or officer of the Corporation shall be eliminated or limited to the fullest extent permitted by the General Corporation Law of Delaware as so amended. No amendment to or repeal of this Article IX shall apply to or have any effect on the liability or alleged liability of any director or officer of the Corporation for or with respect to any acts or omissions of such director or officer occurring prior to such amendment or repeal.</w:t>
      </w: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603" w:right="339" w:bottom="1440" w:gutter="0" w:footer="0" w:header="0"/>
        </w:sectPr>
      </w:pPr>
    </w:p>
    <w:bookmarkStart w:id="41" w:name="page42"/>
    <w:bookmarkEnd w:id="41"/>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Restated Certificate of Incorporation has been executed by a duly authorized officer of this Corporation on this 31st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 2023.</w:t>
      </w:r>
    </w:p>
    <w:p>
      <w:pPr>
        <w:spacing w:after="0" w:line="1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NORTHERN TECHNOLOGIES</w:t>
      </w:r>
    </w:p>
    <w:p>
      <w:pPr>
        <w:spacing w:after="0" w:line="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142875</wp:posOffset>
            </wp:positionV>
            <wp:extent cx="2846070" cy="651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Matthew C. Wolsfeld</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Its: Chief Financial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60"/>
          </w:cols>
          <w:pgMar w:left="480" w:top="603" w:right="3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654175" cy="316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54175" cy="31686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agreement dated as of December 19, 2022, is between JPMorgan Chase Bank, N.A. (together with its successors and assigns,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whose address is 10 S Dearborn St, Floor 35, Chicago, IL, 60603-2300, ATTN: Credit Executive- MN, and NORTHERN TECHNOLOGIES INTERNATIONAL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whose address is 4201 Woodland Road, Circle Pines, MN 55014.</w:t>
      </w:r>
    </w:p>
    <w:p>
      <w:pPr>
        <w:spacing w:after="0" w:line="171"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w:t>
      </w:r>
    </w:p>
    <w:p>
      <w:pPr>
        <w:spacing w:after="0" w:line="225" w:lineRule="exact"/>
        <w:rPr>
          <w:sz w:val="20"/>
          <w:szCs w:val="20"/>
          <w:color w:val="auto"/>
        </w:rPr>
      </w:pPr>
    </w:p>
    <w:p>
      <w:pPr>
        <w:jc w:val="both"/>
        <w:ind w:left="840" w:hanging="32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Scope. </w:t>
      </w:r>
      <w:r>
        <w:rPr>
          <w:rFonts w:ascii="Times New Roman" w:cs="Times New Roman" w:eastAsia="Times New Roman" w:hAnsi="Times New Roman"/>
          <w:sz w:val="18"/>
          <w:szCs w:val="18"/>
          <w:color w:val="auto"/>
        </w:rPr>
        <w:t>This agreement governs Facility A, and, unless otherwise agreed to in writing by the Bank and the Borrower or prohibited by any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governs the Credit Facilities as defined below. The Bank has established procedures for the Borrower to obtain advances under any Credit Facilities. Any other procedures that the Bank agrees to regarding obtaining advances, including automatic loan sweeps, shall not change the terms or conditions of this agreement or the other Related Documents regarding the Credit Facilities.</w:t>
      </w:r>
    </w:p>
    <w:p>
      <w:pPr>
        <w:spacing w:after="0" w:line="176" w:lineRule="exact"/>
        <w:rPr>
          <w:sz w:val="20"/>
          <w:szCs w:val="20"/>
          <w:color w:val="auto"/>
        </w:rPr>
      </w:pPr>
    </w:p>
    <w:p>
      <w:pPr>
        <w:jc w:val="both"/>
        <w:ind w:left="840" w:hanging="33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 Facility A (Line of Credit). </w:t>
      </w:r>
      <w:r>
        <w:rPr>
          <w:rFonts w:ascii="Times New Roman" w:cs="Times New Roman" w:eastAsia="Times New Roman" w:hAnsi="Times New Roman"/>
          <w:sz w:val="18"/>
          <w:szCs w:val="18"/>
          <w:color w:val="auto"/>
        </w:rPr>
        <w:t>The Bank has approved a credit facility to the Borrower in a principal amount not to exceed $10,000,000.00,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time outstanding ("</w:t>
      </w:r>
      <w:r>
        <w:rPr>
          <w:rFonts w:ascii="Times New Roman" w:cs="Times New Roman" w:eastAsia="Times New Roman" w:hAnsi="Times New Roman"/>
          <w:sz w:val="18"/>
          <w:szCs w:val="18"/>
          <w:b w:val="1"/>
          <w:bCs w:val="1"/>
          <w:color w:val="auto"/>
        </w:rPr>
        <w:t>Facility A</w:t>
      </w:r>
      <w:r>
        <w:rPr>
          <w:rFonts w:ascii="Times New Roman" w:cs="Times New Roman" w:eastAsia="Times New Roman" w:hAnsi="Times New Roman"/>
          <w:sz w:val="18"/>
          <w:szCs w:val="18"/>
          <w:color w:val="auto"/>
        </w:rPr>
        <w:t>"). Credit under Facility A shall be repaid as described in a Line of Credit Note executed at the same time as this agreement, along with any renewals, modifications, extensions, rearrangements, restatements and replacements or substitutions.</w:t>
      </w:r>
    </w:p>
    <w:p>
      <w:pPr>
        <w:spacing w:after="0" w:line="171" w:lineRule="exact"/>
        <w:rPr>
          <w:sz w:val="20"/>
          <w:szCs w:val="20"/>
          <w:color w:val="auto"/>
        </w:rPr>
      </w:pPr>
    </w:p>
    <w:p>
      <w:pPr>
        <w:ind w:left="140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Non Usage Fee. </w:t>
      </w:r>
      <w:r>
        <w:rPr>
          <w:rFonts w:ascii="Times New Roman" w:cs="Times New Roman" w:eastAsia="Times New Roman" w:hAnsi="Times New Roman"/>
          <w:sz w:val="18"/>
          <w:szCs w:val="18"/>
          <w:color w:val="auto"/>
        </w:rPr>
        <w:t>The Borrower will pay "non-usage fee," each calendar quarter, based on the amount of credit in Facility A that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used. This fee is determined by A x (B – C) x (D/360):</w:t>
      </w:r>
    </w:p>
    <w:p>
      <w:pPr>
        <w:spacing w:after="0" w:line="1" w:lineRule="exact"/>
        <w:rPr>
          <w:sz w:val="20"/>
          <w:szCs w:val="20"/>
          <w:color w:val="auto"/>
        </w:rPr>
      </w:pPr>
    </w:p>
    <w:p>
      <w:pPr>
        <w:ind w:left="2040" w:hanging="331"/>
        <w:spacing w:after="0"/>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equals 0.10%</w:t>
      </w:r>
    </w:p>
    <w:p>
      <w:pPr>
        <w:spacing w:after="0" w:line="9" w:lineRule="exact"/>
        <w:rPr>
          <w:rFonts w:ascii="Times New Roman" w:cs="Times New Roman" w:eastAsia="Times New Roman" w:hAnsi="Times New Roman"/>
          <w:sz w:val="18"/>
          <w:szCs w:val="18"/>
          <w:color w:val="auto"/>
        </w:rPr>
      </w:pPr>
    </w:p>
    <w:p>
      <w:pPr>
        <w:ind w:left="2040" w:hanging="331"/>
        <w:spacing w:after="0"/>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equals the maximum amount of Facility A</w:t>
      </w:r>
    </w:p>
    <w:p>
      <w:pPr>
        <w:spacing w:after="0" w:line="9" w:lineRule="exact"/>
        <w:rPr>
          <w:rFonts w:ascii="Times New Roman" w:cs="Times New Roman" w:eastAsia="Times New Roman" w:hAnsi="Times New Roman"/>
          <w:sz w:val="18"/>
          <w:szCs w:val="18"/>
          <w:color w:val="auto"/>
        </w:rPr>
      </w:pPr>
    </w:p>
    <w:p>
      <w:pPr>
        <w:ind w:left="2040" w:hanging="331"/>
        <w:spacing w:after="0"/>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equals the average daily outstanding principal balance of Facility A during the calendar quarter</w:t>
      </w:r>
    </w:p>
    <w:p>
      <w:pPr>
        <w:spacing w:after="0" w:line="9" w:lineRule="exact"/>
        <w:rPr>
          <w:rFonts w:ascii="Times New Roman" w:cs="Times New Roman" w:eastAsia="Times New Roman" w:hAnsi="Times New Roman"/>
          <w:sz w:val="18"/>
          <w:szCs w:val="18"/>
          <w:color w:val="auto"/>
        </w:rPr>
      </w:pPr>
    </w:p>
    <w:p>
      <w:pPr>
        <w:ind w:left="2040" w:hanging="331"/>
        <w:spacing w:after="0"/>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equals the actual number of days elapsed during the calendar quarter</w:t>
      </w:r>
    </w:p>
    <w:p>
      <w:pPr>
        <w:spacing w:after="0" w:line="207" w:lineRule="exact"/>
        <w:rPr>
          <w:sz w:val="20"/>
          <w:szCs w:val="20"/>
          <w:color w:val="auto"/>
        </w:rPr>
      </w:pPr>
    </w:p>
    <w:p>
      <w:pPr>
        <w:ind w:left="1400" w:right="220"/>
        <w:spacing w:after="0" w:line="282" w:lineRule="auto"/>
        <w:rPr>
          <w:sz w:val="20"/>
          <w:szCs w:val="20"/>
          <w:color w:val="auto"/>
        </w:rPr>
      </w:pPr>
      <w:r>
        <w:rPr>
          <w:rFonts w:ascii="Times New Roman" w:cs="Times New Roman" w:eastAsia="Times New Roman" w:hAnsi="Times New Roman"/>
          <w:sz w:val="18"/>
          <w:szCs w:val="18"/>
          <w:color w:val="auto"/>
        </w:rPr>
        <w:t>The Borrower must pay any non-usage fees within fifteen (15) days after receiving an invoice from the Bank. The Bank may begin to accrue the foregoing fee on the date this agreement becomes effective.</w:t>
      </w:r>
    </w:p>
    <w:p>
      <w:pPr>
        <w:spacing w:after="0" w:line="158" w:lineRule="exact"/>
        <w:rPr>
          <w:sz w:val="20"/>
          <w:szCs w:val="20"/>
          <w:color w:val="auto"/>
        </w:rPr>
      </w:pPr>
    </w:p>
    <w:p>
      <w:pPr>
        <w:jc w:val="both"/>
        <w:ind w:left="140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Letter of Credit Sub-Limit. </w:t>
      </w:r>
      <w:r>
        <w:rPr>
          <w:rFonts w:ascii="Times New Roman" w:cs="Times New Roman" w:eastAsia="Times New Roman" w:hAnsi="Times New Roman"/>
          <w:sz w:val="18"/>
          <w:szCs w:val="18"/>
          <w:color w:val="auto"/>
        </w:rPr>
        <w:t>At any time the Borrower is entitled to an advance under Facility A, the Bank agrees to issue letters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(all letters of credit issued for the account of the Borrower which are outstanding on the date of this agreement and any letter of credit issued under this agreement, together with any and all amendments, modifications, renewals, extensions, increases, restatements and rearrangements of and substitutions and replacements for, any of the foregoing, a "</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for the account of the Borrower in an amount not in excess of the maximum advance that it would then be entitled to obtain under Facility A, provided that (a) the aggregate maximum amount which is drawn and remains unreimbursed under all Letters of Credit plus the aggregate maximum available amount which may be drawn under all Letters of Credit which are outstanding at any time (the "</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shall not exceed $5,000,000.00, (b) the issuance of any Letter of Credit with an expiration date beyond the maturity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Line of Credit Note shall be subject to the approval of the Bank, (c) any Letter of Credit shall be a standby or commercial letter of credit and the form of the requested Letter of Credit shall be satisfactory to the Bank, and (d) the Borrower shall have executed an application and reimbursement agreement for any Letter of Credit in a form satisfactory to the Bank. While any Letter of Credit is outstanding, the maximum amount of advances that may be outstanding under the Line of Credit Note shall be automatically reduced by the L/C Obligations. The Borrower shall pay the Bank a fee for each standby letter of credit that is issued, such fee to be agreed upon for each letter of credit from time to time by the Bank and the Borrower, provided, however, that if an agreement is not reached, the Bank shall be under no obligation to issue any letter of credit hereunder. The Borrower shall pay the Bank a fee for each commercial letter of credit that is issued, such fee to be agreed upon for each letter of credit from time to time by the Bank and the Borrower, provided, however, that if an agreement is not reached, the Bank shall be under no obligation to issue any letter of credit hereunder. No credit shall be given for fees paid due to early termination of any Letter of Credit. The Borrower shall also pay the Bank's standard transaction fees with respect to any transactions occurring on account of any Letter of Credit. Each fee shall be payable when the related letter of credit is issued, and transaction fees shall be payable upon completion of the transaction as to which they are charged. All fees may be debited by the Bank to any deposit account of the Borrower with the Bank without further authority and, in any event, shall be paid by the Borrower within ten (10) days following billing. The Bank is authorized, but not obligated to make an advance under the Line of Credit Note without notice to the Borrower, to make payment on a drawing under any Letter of Credit. The aggregate principal amount of advances outstanding at any one time under the Line of Credit Note (and any and all renewals, modifications, extensions, rearrangements, restatements thereof and replacements or substitutions therefor) evidencing Facility A plus the aggregate amount of L/C Obligations outstanding at any time (the "</w:t>
      </w:r>
      <w:r>
        <w:rPr>
          <w:rFonts w:ascii="Times New Roman" w:cs="Times New Roman" w:eastAsia="Times New Roman" w:hAnsi="Times New Roman"/>
          <w:sz w:val="18"/>
          <w:szCs w:val="18"/>
          <w:b w:val="1"/>
          <w:bCs w:val="1"/>
          <w:color w:val="auto"/>
        </w:rPr>
        <w:t>Aggregate Outstanding Amount</w:t>
      </w:r>
      <w:r>
        <w:rPr>
          <w:rFonts w:ascii="Times New Roman" w:cs="Times New Roman" w:eastAsia="Times New Roman" w:hAnsi="Times New Roman"/>
          <w:sz w:val="18"/>
          <w:szCs w:val="18"/>
          <w:color w:val="auto"/>
        </w:rPr>
        <w:t>") shall not exceed the maximum amount of Facility A. If the Aggregate Outstanding Amount still exceeds the maximum amount of Facility A after the Line of Credit Note balance is reduced to zero (that is, L/C Obligations exceed the maximum amount of Facility A), the Borrower shall provide cash collateral to the Bank for the L/C Obligations in an amount sufficient to eliminate the excess. References in this agreement to the principal amount outstanding under the Credit Facilities shall include L/C Obligations.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ind w:left="340" w:hanging="332"/>
        <w:spacing w:after="0"/>
        <w:tabs>
          <w:tab w:leader="none" w:pos="3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2.1  Definitions. </w:t>
      </w:r>
      <w:r>
        <w:rPr>
          <w:rFonts w:ascii="Times New Roman" w:cs="Times New Roman" w:eastAsia="Times New Roman" w:hAnsi="Times New Roman"/>
          <w:sz w:val="18"/>
          <w:szCs w:val="18"/>
          <w:color w:val="auto"/>
        </w:rPr>
        <w:t>As used in this agreement, the following terms have the following respective meanings:</w:t>
      </w:r>
    </w:p>
    <w:p>
      <w:pPr>
        <w:spacing w:after="0" w:line="225" w:lineRule="exact"/>
        <w:rPr>
          <w:sz w:val="20"/>
          <w:szCs w:val="20"/>
          <w:color w:val="auto"/>
        </w:rPr>
      </w:pPr>
    </w:p>
    <w:p>
      <w:pPr>
        <w:ind w:left="1740" w:hanging="346"/>
        <w:spacing w:after="0"/>
        <w:tabs>
          <w:tab w:leader="none" w:pos="17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directly or indirectly controlling, controlled by or under common control with, another Person.</w:t>
      </w:r>
    </w:p>
    <w:p>
      <w:pPr>
        <w:spacing w:after="0" w:line="225" w:lineRule="exact"/>
        <w:rPr>
          <w:rFonts w:ascii="Times New Roman" w:cs="Times New Roman" w:eastAsia="Times New Roman" w:hAnsi="Times New Roman"/>
          <w:sz w:val="18"/>
          <w:szCs w:val="18"/>
          <w:b w:val="1"/>
          <w:bCs w:val="1"/>
          <w:color w:val="auto"/>
        </w:rPr>
      </w:pPr>
    </w:p>
    <w:p>
      <w:pPr>
        <w:ind w:left="1400" w:right="20" w:hanging="6"/>
        <w:spacing w:after="0" w:line="286" w:lineRule="auto"/>
        <w:tabs>
          <w:tab w:leader="none" w:pos="178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Subsidiaries from time to time concerning or relating to bribery or corruption.</w:t>
      </w:r>
    </w:p>
    <w:p>
      <w:pPr>
        <w:spacing w:after="0" w:line="154" w:lineRule="exact"/>
        <w:rPr>
          <w:rFonts w:ascii="Times New Roman" w:cs="Times New Roman" w:eastAsia="Times New Roman" w:hAnsi="Times New Roman"/>
          <w:sz w:val="18"/>
          <w:szCs w:val="18"/>
          <w:b w:val="1"/>
          <w:bCs w:val="1"/>
          <w:color w:val="auto"/>
        </w:rPr>
      </w:pPr>
    </w:p>
    <w:p>
      <w:pPr>
        <w:ind w:left="1400" w:hanging="6"/>
        <w:spacing w:after="0" w:line="286" w:lineRule="auto"/>
        <w:tabs>
          <w:tab w:leader="none" w:pos="176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all Property, now or in the future subject to any Lien in favor of the Bank, securing or intending to secure, any of the Liabilities.</w:t>
      </w:r>
    </w:p>
    <w:p>
      <w:pPr>
        <w:spacing w:after="0" w:line="154" w:lineRule="exact"/>
        <w:rPr>
          <w:rFonts w:ascii="Times New Roman" w:cs="Times New Roman" w:eastAsia="Times New Roman" w:hAnsi="Times New Roman"/>
          <w:sz w:val="18"/>
          <w:szCs w:val="18"/>
          <w:b w:val="1"/>
          <w:bCs w:val="1"/>
          <w:color w:val="auto"/>
        </w:rPr>
      </w:pPr>
    </w:p>
    <w:p>
      <w:pPr>
        <w:ind w:left="1400" w:hanging="6"/>
        <w:spacing w:after="0" w:line="286" w:lineRule="auto"/>
        <w:tabs>
          <w:tab w:leader="none" w:pos="17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means any expenditures or the incurrence of any obligation or liability for any asset which is classified as a capital asset under GAAP.</w:t>
      </w:r>
    </w:p>
    <w:p>
      <w:pPr>
        <w:spacing w:after="0" w:line="154" w:lineRule="exact"/>
        <w:rPr>
          <w:rFonts w:ascii="Times New Roman" w:cs="Times New Roman" w:eastAsia="Times New Roman" w:hAnsi="Times New Roman"/>
          <w:sz w:val="18"/>
          <w:szCs w:val="18"/>
          <w:b w:val="1"/>
          <w:bCs w:val="1"/>
          <w:color w:val="auto"/>
        </w:rPr>
      </w:pPr>
    </w:p>
    <w:p>
      <w:pPr>
        <w:ind w:left="1400" w:hanging="6"/>
        <w:spacing w:after="0" w:line="286" w:lineRule="auto"/>
        <w:tabs>
          <w:tab w:leader="none" w:pos="181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all extensions of credit from the Bank to the Borrower, existing or extended with this agreement, or hereafter arising.</w:t>
      </w:r>
    </w:p>
    <w:p>
      <w:pPr>
        <w:spacing w:after="0" w:line="154" w:lineRule="exact"/>
        <w:rPr>
          <w:rFonts w:ascii="Times New Roman" w:cs="Times New Roman" w:eastAsia="Times New Roman" w:hAnsi="Times New Roman"/>
          <w:sz w:val="18"/>
          <w:szCs w:val="18"/>
          <w:b w:val="1"/>
          <w:bCs w:val="1"/>
          <w:color w:val="auto"/>
        </w:rPr>
      </w:pPr>
    </w:p>
    <w:p>
      <w:pPr>
        <w:ind w:left="1400" w:hanging="6"/>
        <w:spacing w:after="0" w:line="286" w:lineRule="auto"/>
        <w:tabs>
          <w:tab w:leader="none" w:pos="179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means all dividends and other distributions made to any Equity Owners, other than salary, bonuses, and other compensation for services expended in the current accounting period.</w:t>
      </w:r>
    </w:p>
    <w:p>
      <w:pPr>
        <w:spacing w:after="0" w:line="154" w:lineRule="exact"/>
        <w:rPr>
          <w:rFonts w:ascii="Times New Roman" w:cs="Times New Roman" w:eastAsia="Times New Roman" w:hAnsi="Times New Roman"/>
          <w:sz w:val="18"/>
          <w:szCs w:val="18"/>
          <w:b w:val="1"/>
          <w:bCs w:val="1"/>
          <w:color w:val="auto"/>
        </w:rPr>
      </w:pPr>
    </w:p>
    <w:p>
      <w:pPr>
        <w:ind w:left="1400" w:hanging="6"/>
        <w:spacing w:after="0" w:line="286" w:lineRule="auto"/>
        <w:tabs>
          <w:tab w:leader="none" w:pos="177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equity ownership interests in a business or not for profit entity, and any warrants, options or other rights entitling the holder thereof to purchase or acquire any such equity interest.</w:t>
      </w:r>
    </w:p>
    <w:p>
      <w:pPr>
        <w:spacing w:after="0" w:line="154" w:lineRule="exact"/>
        <w:rPr>
          <w:rFonts w:ascii="Times New Roman" w:cs="Times New Roman" w:eastAsia="Times New Roman" w:hAnsi="Times New Roman"/>
          <w:sz w:val="18"/>
          <w:szCs w:val="18"/>
          <w:b w:val="1"/>
          <w:bCs w:val="1"/>
          <w:color w:val="auto"/>
        </w:rPr>
      </w:pPr>
    </w:p>
    <w:p>
      <w:pPr>
        <w:ind w:left="1760" w:hanging="366"/>
        <w:spacing w:after="0"/>
        <w:tabs>
          <w:tab w:leader="none" w:pos="17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Owner</w:t>
      </w:r>
      <w:r>
        <w:rPr>
          <w:rFonts w:ascii="Times New Roman" w:cs="Times New Roman" w:eastAsia="Times New Roman" w:hAnsi="Times New Roman"/>
          <w:sz w:val="18"/>
          <w:szCs w:val="18"/>
          <w:color w:val="auto"/>
        </w:rPr>
        <w:t>" means an owner of any Equity Interests.</w:t>
      </w:r>
    </w:p>
    <w:p>
      <w:pPr>
        <w:spacing w:after="0" w:line="225" w:lineRule="exact"/>
        <w:rPr>
          <w:rFonts w:ascii="Times New Roman" w:cs="Times New Roman" w:eastAsia="Times New Roman" w:hAnsi="Times New Roman"/>
          <w:sz w:val="18"/>
          <w:szCs w:val="18"/>
          <w:b w:val="1"/>
          <w:bCs w:val="1"/>
          <w:color w:val="auto"/>
        </w:rPr>
      </w:pPr>
    </w:p>
    <w:p>
      <w:pPr>
        <w:ind w:left="1400" w:right="20" w:hanging="6"/>
        <w:spacing w:after="0" w:line="286" w:lineRule="auto"/>
        <w:tabs>
          <w:tab w:leader="none" w:pos="172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effect from time to time in the United States of America, consistently applied.</w:t>
      </w:r>
    </w:p>
    <w:p>
      <w:pPr>
        <w:spacing w:after="0" w:line="154" w:lineRule="exact"/>
        <w:rPr>
          <w:rFonts w:ascii="Times New Roman" w:cs="Times New Roman" w:eastAsia="Times New Roman" w:hAnsi="Times New Roman"/>
          <w:sz w:val="18"/>
          <w:szCs w:val="18"/>
          <w:b w:val="1"/>
          <w:bCs w:val="1"/>
          <w:color w:val="auto"/>
        </w:rPr>
      </w:pPr>
    </w:p>
    <w:p>
      <w:pPr>
        <w:jc w:val="both"/>
        <w:ind w:left="1400" w:hanging="6"/>
        <w:spacing w:after="0" w:line="268" w:lineRule="auto"/>
        <w:tabs>
          <w:tab w:leader="none" w:pos="171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Requirement</w:t>
      </w:r>
      <w:r>
        <w:rPr>
          <w:rFonts w:ascii="Times New Roman" w:cs="Times New Roman" w:eastAsia="Times New Roman" w:hAnsi="Times New Roman"/>
          <w:sz w:val="18"/>
          <w:szCs w:val="18"/>
          <w:color w:val="auto"/>
        </w:rPr>
        <w:t>" means any law, order, Sanctions, regulation (or interpretation of any of the foregoing) of any federal, state or local governmental authority or self-regulatory organization having jurisdiction over the Bank, any Obligor or any of its Subsidiaries or their respective Properties or any agreement by which any of them is bound.</w:t>
      </w:r>
    </w:p>
    <w:p>
      <w:pPr>
        <w:spacing w:after="0" w:line="170" w:lineRule="exact"/>
        <w:rPr>
          <w:rFonts w:ascii="Times New Roman" w:cs="Times New Roman" w:eastAsia="Times New Roman" w:hAnsi="Times New Roman"/>
          <w:sz w:val="18"/>
          <w:szCs w:val="18"/>
          <w:b w:val="1"/>
          <w:bCs w:val="1"/>
          <w:color w:val="auto"/>
        </w:rPr>
      </w:pPr>
    </w:p>
    <w:p>
      <w:pPr>
        <w:jc w:val="both"/>
        <w:ind w:left="1400" w:hanging="6"/>
        <w:spacing w:after="0" w:line="255" w:lineRule="auto"/>
        <w:tabs>
          <w:tab w:leader="none" w:pos="179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all indebtedness, liabilities and obligations of every kind and character of the Borrower to the Bank, whether the obligations, indebtedness and liabilities are individual, joint and several, contingent or otherwise, now or hereafter existing, including, without limitation, all liabilities, interest, costs and fees, arising under or from any note, open account, overdraft, credit card, lease, Rate Management Transaction, letter of credit application, endorsement, surety agreement, guaranty, acceptance, foreign exchange contract or depository service contract, whether payable to the Bank or to a third party and subsequently acquired by the Bank, any monetary obligations (including interest) incurred or accrued during the pendency of any bankruptcy, insolvency, receivership or other similar proceedings, regardless of whether allowed or allowable in such proceeding, and all renewals, extensions, modifications, consolidations, rearrangements, restatements, replacements or substitutions of any of the foregoing.</w:t>
      </w:r>
    </w:p>
    <w:p>
      <w:pPr>
        <w:spacing w:after="0" w:line="184" w:lineRule="exact"/>
        <w:rPr>
          <w:rFonts w:ascii="Times New Roman" w:cs="Times New Roman" w:eastAsia="Times New Roman" w:hAnsi="Times New Roman"/>
          <w:sz w:val="18"/>
          <w:szCs w:val="18"/>
          <w:b w:val="1"/>
          <w:bCs w:val="1"/>
          <w:color w:val="auto"/>
        </w:rPr>
      </w:pPr>
    </w:p>
    <w:p>
      <w:pPr>
        <w:ind w:left="1400" w:hanging="6"/>
        <w:spacing w:after="0" w:line="286" w:lineRule="auto"/>
        <w:tabs>
          <w:tab w:leader="none" w:pos="1799"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pledge, charge, encumbrance, security interest, collateral assignment or other lien or restriction of any kind.</w:t>
      </w:r>
    </w:p>
    <w:p>
      <w:pPr>
        <w:spacing w:after="0" w:line="154" w:lineRule="exact"/>
        <w:rPr>
          <w:rFonts w:ascii="Times New Roman" w:cs="Times New Roman" w:eastAsia="Times New Roman" w:hAnsi="Times New Roman"/>
          <w:sz w:val="18"/>
          <w:szCs w:val="18"/>
          <w:b w:val="1"/>
          <w:bCs w:val="1"/>
          <w:color w:val="auto"/>
        </w:rPr>
      </w:pPr>
    </w:p>
    <w:p>
      <w:pPr>
        <w:ind w:left="1400" w:hanging="6"/>
        <w:spacing w:after="0" w:line="286" w:lineRule="auto"/>
        <w:tabs>
          <w:tab w:leader="none" w:pos="183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means net income under GAAP, but excluding extraordinary or non-recurring items, as reasonably determined by the Bank.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ind w:left="620" w:hanging="346"/>
        <w:spacing w:after="0"/>
        <w:tabs>
          <w:tab w:leader="none" w:pos="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all promissory notes, instruments and/or contracts now or hereafter evidencing the Credit Facilities.</w:t>
      </w:r>
    </w:p>
    <w:p>
      <w:pPr>
        <w:spacing w:after="0" w:line="225" w:lineRule="exact"/>
        <w:rPr>
          <w:rFonts w:ascii="Times New Roman" w:cs="Times New Roman" w:eastAsia="Times New Roman" w:hAnsi="Times New Roman"/>
          <w:sz w:val="18"/>
          <w:szCs w:val="18"/>
          <w:b w:val="1"/>
          <w:bCs w:val="1"/>
          <w:color w:val="auto"/>
        </w:rPr>
      </w:pPr>
    </w:p>
    <w:p>
      <w:pPr>
        <w:ind w:left="280" w:hanging="6"/>
        <w:spacing w:after="0" w:line="286" w:lineRule="auto"/>
        <w:tabs>
          <w:tab w:leader="none" w:pos="71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any Borrower, guarantor, surety, co-signer, endorser, general partner or other Person who may now or in the future be obligated to pay any of the Liabilities, and any Person providing Collateral.</w:t>
      </w:r>
    </w:p>
    <w:p>
      <w:pPr>
        <w:spacing w:after="0" w:line="154" w:lineRule="exact"/>
        <w:rPr>
          <w:rFonts w:ascii="Times New Roman" w:cs="Times New Roman" w:eastAsia="Times New Roman" w:hAnsi="Times New Roman"/>
          <w:sz w:val="18"/>
          <w:szCs w:val="18"/>
          <w:b w:val="1"/>
          <w:bCs w:val="1"/>
          <w:color w:val="auto"/>
        </w:rPr>
      </w:pPr>
    </w:p>
    <w:p>
      <w:pPr>
        <w:ind w:left="280" w:hanging="6"/>
        <w:spacing w:after="0" w:line="286" w:lineRule="auto"/>
        <w:tabs>
          <w:tab w:leader="none" w:pos="61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xml:space="preserve"> means, with respect to any Person, certificates of existence or formation, documents establishing or governing the Person including all amendments, and modifications.</w:t>
      </w:r>
    </w:p>
    <w:p>
      <w:pPr>
        <w:spacing w:after="0" w:line="154" w:lineRule="exact"/>
        <w:rPr>
          <w:rFonts w:ascii="Times New Roman" w:cs="Times New Roman" w:eastAsia="Times New Roman" w:hAnsi="Times New Roman"/>
          <w:sz w:val="18"/>
          <w:szCs w:val="18"/>
          <w:b w:val="1"/>
          <w:bCs w:val="1"/>
          <w:color w:val="auto"/>
        </w:rPr>
      </w:pPr>
    </w:p>
    <w:p>
      <w:pPr>
        <w:ind w:left="640" w:hanging="366"/>
        <w:spacing w:after="0"/>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business or other entity, or any governmental authority.</w:t>
      </w:r>
    </w:p>
    <w:p>
      <w:pPr>
        <w:spacing w:after="0" w:line="225" w:lineRule="exact"/>
        <w:rPr>
          <w:rFonts w:ascii="Times New Roman" w:cs="Times New Roman" w:eastAsia="Times New Roman" w:hAnsi="Times New Roman"/>
          <w:sz w:val="18"/>
          <w:szCs w:val="18"/>
          <w:b w:val="1"/>
          <w:bCs w:val="1"/>
          <w:color w:val="auto"/>
        </w:rPr>
      </w:pPr>
    </w:p>
    <w:p>
      <w:pPr>
        <w:ind w:left="620" w:hanging="346"/>
        <w:spacing w:after="0"/>
        <w:tabs>
          <w:tab w:leader="none" w:pos="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interest in any kind of property or asset, whether real, personal or mixed, tangible or intangible.</w:t>
      </w:r>
    </w:p>
    <w:p>
      <w:pPr>
        <w:spacing w:after="0" w:line="225" w:lineRule="exact"/>
        <w:rPr>
          <w:rFonts w:ascii="Times New Roman" w:cs="Times New Roman" w:eastAsia="Times New Roman" w:hAnsi="Times New Roman"/>
          <w:sz w:val="18"/>
          <w:szCs w:val="18"/>
          <w:b w:val="1"/>
          <w:bCs w:val="1"/>
          <w:color w:val="auto"/>
        </w:rPr>
      </w:pPr>
    </w:p>
    <w:p>
      <w:pPr>
        <w:jc w:val="both"/>
        <w:ind w:left="280" w:hanging="6"/>
        <w:spacing w:after="0" w:line="257" w:lineRule="auto"/>
        <w:tabs>
          <w:tab w:leader="none" w:pos="64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Rate Management Transaction</w:t>
      </w:r>
      <w:r>
        <w:rPr>
          <w:rFonts w:ascii="Times New Roman" w:cs="Times New Roman" w:eastAsia="Times New Roman" w:hAnsi="Times New Roman"/>
          <w:sz w:val="18"/>
          <w:szCs w:val="18"/>
          <w:color w:val="auto"/>
        </w:rPr>
        <w:t>" means any transaction (including an agreement with respect thereto) that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derivative transaction or any other similar transaction (including any option with respect to any of these transactions) or any combination thereof, whether linked to one or more interest rates, foreign currencies, commodity prices, equity prices or other financial measures.</w:t>
      </w:r>
    </w:p>
    <w:p>
      <w:pPr>
        <w:spacing w:after="0" w:line="182" w:lineRule="exact"/>
        <w:rPr>
          <w:rFonts w:ascii="Times New Roman" w:cs="Times New Roman" w:eastAsia="Times New Roman" w:hAnsi="Times New Roman"/>
          <w:sz w:val="18"/>
          <w:szCs w:val="18"/>
          <w:b w:val="1"/>
          <w:bCs w:val="1"/>
          <w:color w:val="auto"/>
        </w:rPr>
      </w:pPr>
    </w:p>
    <w:p>
      <w:pPr>
        <w:ind w:left="280" w:hanging="6"/>
        <w:spacing w:after="0" w:line="286" w:lineRule="auto"/>
        <w:tabs>
          <w:tab w:leader="none" w:pos="62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Documents</w:t>
      </w:r>
      <w:r>
        <w:rPr>
          <w:rFonts w:ascii="Times New Roman" w:cs="Times New Roman" w:eastAsia="Times New Roman" w:hAnsi="Times New Roman"/>
          <w:sz w:val="18"/>
          <w:szCs w:val="18"/>
          <w:color w:val="auto"/>
        </w:rPr>
        <w:t>" means this agreement, and any other instrument or document executed in connection with this agreement or with any of the Liabilities.</w:t>
      </w:r>
    </w:p>
    <w:p>
      <w:pPr>
        <w:spacing w:after="0" w:line="154" w:lineRule="exact"/>
        <w:rPr>
          <w:rFonts w:ascii="Times New Roman" w:cs="Times New Roman" w:eastAsia="Times New Roman" w:hAnsi="Times New Roman"/>
          <w:sz w:val="18"/>
          <w:szCs w:val="18"/>
          <w:b w:val="1"/>
          <w:bCs w:val="1"/>
          <w:color w:val="auto"/>
        </w:rPr>
      </w:pPr>
    </w:p>
    <w:p>
      <w:pPr>
        <w:jc w:val="both"/>
        <w:ind w:left="280" w:hanging="6"/>
        <w:spacing w:after="0" w:line="259" w:lineRule="auto"/>
        <w:tabs>
          <w:tab w:leader="none" w:pos="63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and (b) if the Borrower has operations outside of the United States, the United Nations Security Council, the European Union, any European Union member state, Her Majesty’s Treasury of the United Kingdom or other relevant sanctions authority.</w:t>
      </w:r>
    </w:p>
    <w:p>
      <w:pPr>
        <w:spacing w:after="0" w:line="179" w:lineRule="exact"/>
        <w:rPr>
          <w:rFonts w:ascii="Times New Roman" w:cs="Times New Roman" w:eastAsia="Times New Roman" w:hAnsi="Times New Roman"/>
          <w:sz w:val="18"/>
          <w:szCs w:val="18"/>
          <w:b w:val="1"/>
          <w:bCs w:val="1"/>
          <w:color w:val="auto"/>
        </w:rPr>
      </w:pPr>
    </w:p>
    <w:p>
      <w:pPr>
        <w:ind w:left="600" w:hanging="326"/>
        <w:spacing w:after="0"/>
        <w:tabs>
          <w:tab w:leader="none" w:pos="6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the subject or target of any Sanctions.</w:t>
      </w:r>
    </w:p>
    <w:p>
      <w:pPr>
        <w:spacing w:after="0" w:line="225" w:lineRule="exact"/>
        <w:rPr>
          <w:rFonts w:ascii="Times New Roman" w:cs="Times New Roman" w:eastAsia="Times New Roman" w:hAnsi="Times New Roman"/>
          <w:sz w:val="18"/>
          <w:szCs w:val="18"/>
          <w:b w:val="1"/>
          <w:bCs w:val="1"/>
          <w:color w:val="auto"/>
        </w:rPr>
      </w:pPr>
    </w:p>
    <w:p>
      <w:pPr>
        <w:ind w:left="680" w:hanging="406"/>
        <w:spacing w:after="0"/>
        <w:tabs>
          <w:tab w:leader="none" w:pos="6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w:t>
      </w:r>
    </w:p>
    <w:p>
      <w:pPr>
        <w:spacing w:after="0" w:line="31" w:lineRule="exact"/>
        <w:rPr>
          <w:rFonts w:ascii="Times New Roman" w:cs="Times New Roman" w:eastAsia="Times New Roman" w:hAnsi="Times New Roman"/>
          <w:sz w:val="18"/>
          <w:szCs w:val="18"/>
          <w:b w:val="1"/>
          <w:bCs w:val="1"/>
          <w:color w:val="auto"/>
        </w:rPr>
      </w:pPr>
    </w:p>
    <w:p>
      <w:pPr>
        <w:jc w:val="both"/>
        <w:ind w:left="2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the Office of Foreign Assets Control of the U.S. Department of the Treasury, the U.S. Department of State, and (ii) if the Borrower has operations outside of the United States, the United Nations Security Council, the European Union, any European Union member state, Her Majesty’s Treasury of the United Kingdom or other relevant sanctions authority (b) any Person operating, organized or resident in a Sanctioned Country (c) any Person controlled by any such Person or Persons described in the foregoing clauses (a) or (b), or (d) any Person otherwise the subject of any Sanction.</w:t>
      </w:r>
    </w:p>
    <w:p>
      <w:pPr>
        <w:spacing w:after="0" w:line="182" w:lineRule="exact"/>
        <w:rPr>
          <w:rFonts w:ascii="Times New Roman" w:cs="Times New Roman" w:eastAsia="Times New Roman" w:hAnsi="Times New Roman"/>
          <w:sz w:val="18"/>
          <w:szCs w:val="18"/>
          <w:b w:val="1"/>
          <w:bCs w:val="1"/>
          <w:color w:val="auto"/>
        </w:rPr>
      </w:pPr>
    </w:p>
    <w:p>
      <w:pPr>
        <w:ind w:left="620" w:hanging="346"/>
        <w:spacing w:after="0"/>
        <w:tabs>
          <w:tab w:leader="none" w:pos="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rFonts w:ascii="Times New Roman" w:cs="Times New Roman" w:eastAsia="Times New Roman" w:hAnsi="Times New Roman"/>
          <w:sz w:val="18"/>
          <w:szCs w:val="18"/>
          <w:b w:val="1"/>
          <w:bCs w:val="1"/>
          <w:color w:val="auto"/>
        </w:rPr>
      </w:pPr>
    </w:p>
    <w:p>
      <w:pPr>
        <w:jc w:val="both"/>
        <w:ind w:left="280" w:hanging="6"/>
        <w:spacing w:after="0" w:line="262" w:lineRule="auto"/>
        <w:tabs>
          <w:tab w:leader="none" w:pos="61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as to any particular Person (the "parent"), a Person the accounts of which would be consolidated with those of the parent in the parent's consolidated financial statements if such financial statements were prepared in accordance with GAAP as well as any other Person of which fifty percent (50%) or more of the Equity Interests is directly or indirectly owned, controlled or held, by the parent or by any Person or Persons controlled by the parent, either alone or together with the parent.</w:t>
      </w:r>
    </w:p>
    <w:p>
      <w:pPr>
        <w:spacing w:after="0" w:line="176" w:lineRule="exact"/>
        <w:rPr>
          <w:rFonts w:ascii="Times New Roman" w:cs="Times New Roman" w:eastAsia="Times New Roman" w:hAnsi="Times New Roman"/>
          <w:sz w:val="18"/>
          <w:szCs w:val="18"/>
          <w:b w:val="1"/>
          <w:bCs w:val="1"/>
          <w:color w:val="auto"/>
        </w:rPr>
      </w:pPr>
    </w:p>
    <w:p>
      <w:pPr>
        <w:jc w:val="both"/>
        <w:ind w:left="280" w:hanging="6"/>
        <w:spacing w:after="0" w:line="262" w:lineRule="auto"/>
        <w:tabs>
          <w:tab w:leader="none" w:pos="62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Unfinanced Capital Expenditures</w:t>
      </w:r>
      <w:r>
        <w:rPr>
          <w:rFonts w:ascii="Times New Roman" w:cs="Times New Roman" w:eastAsia="Times New Roman" w:hAnsi="Times New Roman"/>
          <w:sz w:val="18"/>
          <w:szCs w:val="18"/>
          <w:color w:val="auto"/>
        </w:rPr>
        <w:t>" means, for any period, Capital Expenditures made during such period which are not financed from the proceeds from (i) the sale of any investments, or (ii) any indebtedness (other than Facility A); it being understood and agreed that, to the extent any Capital Expenditures are financed with the proceeds of Facility A, such Capital Expenditures shall be deemed Unfinanced Capital Expenditures.</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88265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45" w:name="page46"/>
    <w:bookmarkEnd w:id="45"/>
    <w:p>
      <w:pPr>
        <w:jc w:val="both"/>
        <w:ind w:left="860" w:hanging="404"/>
        <w:spacing w:after="0" w:line="257" w:lineRule="auto"/>
        <w:tabs>
          <w:tab w:leader="none" w:pos="840" w:val="left"/>
        </w:tabs>
        <w:rPr>
          <w:sz w:val="20"/>
          <w:szCs w:val="20"/>
          <w:color w:val="auto"/>
        </w:rPr>
      </w:pPr>
      <w:r>
        <w:rPr>
          <w:rFonts w:ascii="Times New Roman" w:cs="Times New Roman" w:eastAsia="Times New Roman" w:hAnsi="Times New Roman"/>
          <w:sz w:val="18"/>
          <w:szCs w:val="18"/>
          <w:b w:val="1"/>
          <w:bCs w:val="1"/>
          <w:color w:val="auto"/>
        </w:rPr>
        <w:t>2.2</w:t>
        <w:tab/>
        <w:t xml:space="preserve">Interpretations. </w:t>
      </w:r>
      <w:r>
        <w:rPr>
          <w:rFonts w:ascii="Times New Roman" w:cs="Times New Roman" w:eastAsia="Times New Roman" w:hAnsi="Times New Roman"/>
          <w:sz w:val="18"/>
          <w:szCs w:val="18"/>
          <w:color w:val="auto"/>
        </w:rPr>
        <w:t>If any provision of this agreement cannot be enforced, the remaining portions of this agreement shall continue in effect.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shall control in the event of any conflict or inconsistency between this agreement and the provisions of any other Related Documents. Any reference to a particular document includes all modifications, supplements, replacements, renewals or extensions of that document. Whenever the Bank's determination, consent, or approval is required under this agreement or the other Related Documents or whenever the Bank may at its option take or refrain from taking any action under this agreement or the other Related Documents, such decision shall be in the sole discretion of the Bank.</w:t>
      </w:r>
    </w:p>
    <w:p>
      <w:pPr>
        <w:spacing w:after="0" w:line="182" w:lineRule="exact"/>
        <w:rPr>
          <w:sz w:val="20"/>
          <w:szCs w:val="20"/>
          <w:color w:val="auto"/>
        </w:rPr>
      </w:pPr>
    </w:p>
    <w:p>
      <w:pPr>
        <w:jc w:val="both"/>
        <w:ind w:left="860" w:hanging="390"/>
        <w:spacing w:after="0" w:line="286" w:lineRule="auto"/>
        <w:tabs>
          <w:tab w:leader="none" w:pos="840" w:val="left"/>
        </w:tabs>
        <w:rPr>
          <w:sz w:val="20"/>
          <w:szCs w:val="20"/>
          <w:color w:val="auto"/>
        </w:rPr>
      </w:pPr>
      <w:r>
        <w:rPr>
          <w:rFonts w:ascii="Times New Roman" w:cs="Times New Roman" w:eastAsia="Times New Roman" w:hAnsi="Times New Roman"/>
          <w:sz w:val="18"/>
          <w:szCs w:val="18"/>
          <w:b w:val="1"/>
          <w:bCs w:val="1"/>
          <w:color w:val="auto"/>
        </w:rPr>
        <w:t>2.3</w:t>
        <w:tab/>
        <w:t xml:space="preserve">Borrowers Generally. </w:t>
      </w:r>
      <w:r>
        <w:rPr>
          <w:rFonts w:ascii="Times New Roman" w:cs="Times New Roman" w:eastAsia="Times New Roman" w:hAnsi="Times New Roman"/>
          <w:sz w:val="18"/>
          <w:szCs w:val="18"/>
          <w:color w:val="auto"/>
        </w:rPr>
        <w:t>As used in this agreement and the Related Documents,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means any borrower individually, or all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as the context may require. For the avoidance of doubt,</w:t>
      </w:r>
    </w:p>
    <w:p>
      <w:pPr>
        <w:spacing w:after="0" w:line="159" w:lineRule="exact"/>
        <w:rPr>
          <w:sz w:val="20"/>
          <w:szCs w:val="20"/>
          <w:color w:val="auto"/>
        </w:rPr>
      </w:pPr>
    </w:p>
    <w:p>
      <w:pPr>
        <w:ind w:left="1400" w:right="20" w:firstLine="642"/>
        <w:spacing w:after="0" w:line="282" w:lineRule="auto"/>
        <w:tabs>
          <w:tab w:leader="none" w:pos="24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facility amounts, payment amounts, and dollar thresholds and limitations are intended to apply in the aggregate for all borrowers (provided that letter of credit fees shall be payable with respect to each letter of credit, if applicable);</w:t>
      </w:r>
    </w:p>
    <w:p>
      <w:pPr>
        <w:spacing w:after="0" w:line="161" w:lineRule="exact"/>
        <w:rPr>
          <w:rFonts w:ascii="Times New Roman" w:cs="Times New Roman" w:eastAsia="Times New Roman" w:hAnsi="Times New Roman"/>
          <w:sz w:val="18"/>
          <w:szCs w:val="18"/>
          <w:color w:val="auto"/>
        </w:rPr>
      </w:pPr>
    </w:p>
    <w:p>
      <w:pPr>
        <w:ind w:left="1400" w:firstLine="642"/>
        <w:spacing w:after="0" w:line="282" w:lineRule="auto"/>
        <w:tabs>
          <w:tab w:leader="none" w:pos="24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agreed to be taken by (i) any borrower with respect to its property or accounts shall be taken by such borrower and (ii) any group of borrowers with respect to their joint property or accounts shall be taken by such group of borrowers;</w:t>
      </w:r>
    </w:p>
    <w:p>
      <w:pPr>
        <w:spacing w:after="0" w:line="161" w:lineRule="exact"/>
        <w:rPr>
          <w:rFonts w:ascii="Times New Roman" w:cs="Times New Roman" w:eastAsia="Times New Roman" w:hAnsi="Times New Roman"/>
          <w:sz w:val="18"/>
          <w:szCs w:val="18"/>
          <w:color w:val="auto"/>
        </w:rPr>
      </w:pPr>
    </w:p>
    <w:p>
      <w:pPr>
        <w:ind w:left="2440" w:hanging="398"/>
        <w:spacing w:after="0"/>
        <w:tabs>
          <w:tab w:leader="none" w:pos="2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grants to the Bank made by each borrower are made with respect to its respective property or interest therein, real and</w:t>
      </w:r>
    </w:p>
    <w:p>
      <w:pPr>
        <w:spacing w:after="0" w:line="27"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w:t>
      </w:r>
    </w:p>
    <w:p>
      <w:pPr>
        <w:spacing w:after="0" w:line="206" w:lineRule="exact"/>
        <w:rPr>
          <w:rFonts w:ascii="Times New Roman" w:cs="Times New Roman" w:eastAsia="Times New Roman" w:hAnsi="Times New Roman"/>
          <w:sz w:val="18"/>
          <w:szCs w:val="18"/>
          <w:color w:val="auto"/>
        </w:rPr>
      </w:pPr>
    </w:p>
    <w:p>
      <w:pPr>
        <w:jc w:val="both"/>
        <w:ind w:left="1400" w:firstLine="642"/>
        <w:spacing w:after="0" w:line="261" w:lineRule="auto"/>
        <w:tabs>
          <w:tab w:leader="none" w:pos="26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covenants, representations and warranties, waivers, consents, acknowledgements, appointments, authorizations, releases, ratifications, affirmations or reaffirmations, and requests for advances made in or under this agreement or any Related Document are made by each borrower for itself and its own rights and property, as applicable and unless otherwise expressly specified in this agreement;</w:t>
      </w:r>
    </w:p>
    <w:p>
      <w:pPr>
        <w:spacing w:after="0" w:line="179" w:lineRule="exact"/>
        <w:rPr>
          <w:rFonts w:ascii="Times New Roman" w:cs="Times New Roman" w:eastAsia="Times New Roman" w:hAnsi="Times New Roman"/>
          <w:sz w:val="18"/>
          <w:szCs w:val="18"/>
          <w:color w:val="auto"/>
        </w:rPr>
      </w:pPr>
    </w:p>
    <w:p>
      <w:pPr>
        <w:ind w:left="1400" w:right="20" w:firstLine="642"/>
        <w:spacing w:after="0" w:line="282" w:lineRule="auto"/>
        <w:tabs>
          <w:tab w:leader="none" w:pos="24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certifications made by any borrower to the Bank on behalf of and with respect to the Borrower are made on behalf of and with respect to all borrowers;</w:t>
      </w:r>
    </w:p>
    <w:p>
      <w:pPr>
        <w:spacing w:after="0" w:line="161" w:lineRule="exact"/>
        <w:rPr>
          <w:rFonts w:ascii="Times New Roman" w:cs="Times New Roman" w:eastAsia="Times New Roman" w:hAnsi="Times New Roman"/>
          <w:sz w:val="18"/>
          <w:szCs w:val="18"/>
          <w:color w:val="auto"/>
        </w:rPr>
      </w:pPr>
    </w:p>
    <w:p>
      <w:pPr>
        <w:jc w:val="both"/>
        <w:ind w:left="1400" w:firstLine="642"/>
        <w:spacing w:after="0" w:line="266" w:lineRule="auto"/>
        <w:tabs>
          <w:tab w:leader="none" w:pos="24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may exercise its remedies, whether contractual, by law, in equity or otherwise, (i) against the property of any borrower as a result of a breach by any Obligor and (ii) against the property of all or fewer than all of the borrowers, in each case in the Bank's sole discretion;</w:t>
      </w:r>
    </w:p>
    <w:p>
      <w:pPr>
        <w:spacing w:after="0" w:line="175" w:lineRule="exact"/>
        <w:rPr>
          <w:rFonts w:ascii="Times New Roman" w:cs="Times New Roman" w:eastAsia="Times New Roman" w:hAnsi="Times New Roman"/>
          <w:sz w:val="18"/>
          <w:szCs w:val="18"/>
          <w:color w:val="auto"/>
        </w:rPr>
      </w:pPr>
    </w:p>
    <w:p>
      <w:pPr>
        <w:ind w:left="2500" w:hanging="458"/>
        <w:spacing w:after="0"/>
        <w:tabs>
          <w:tab w:leader="none" w:pos="2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of any borrower constitutes knowledge of the Borrower for all purposes of this agreement and the Related</w:t>
      </w:r>
    </w:p>
    <w:p>
      <w:pPr>
        <w:spacing w:after="0" w:line="27"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6" w:lineRule="exact"/>
        <w:rPr>
          <w:rFonts w:ascii="Times New Roman" w:cs="Times New Roman" w:eastAsia="Times New Roman" w:hAnsi="Times New Roman"/>
          <w:sz w:val="18"/>
          <w:szCs w:val="18"/>
          <w:color w:val="auto"/>
        </w:rPr>
      </w:pPr>
    </w:p>
    <w:p>
      <w:pPr>
        <w:ind w:left="1400" w:firstLine="642"/>
        <w:spacing w:after="0" w:line="282" w:lineRule="auto"/>
        <w:tabs>
          <w:tab w:leader="none" w:pos="2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unenforceability of this agreement or any Related Document against any borrower does not affect the enforceability of this agreement or such Related Document, as applicable, against any other borrower party hereto or thereto; and</w:t>
      </w:r>
    </w:p>
    <w:p>
      <w:pPr>
        <w:spacing w:after="0" w:line="161" w:lineRule="exact"/>
        <w:rPr>
          <w:rFonts w:ascii="Times New Roman" w:cs="Times New Roman" w:eastAsia="Times New Roman" w:hAnsi="Times New Roman"/>
          <w:sz w:val="18"/>
          <w:szCs w:val="18"/>
          <w:color w:val="auto"/>
        </w:rPr>
      </w:pPr>
    </w:p>
    <w:p>
      <w:pPr>
        <w:jc w:val="both"/>
        <w:ind w:left="1400" w:firstLine="642"/>
        <w:spacing w:after="0" w:line="256" w:lineRule="auto"/>
        <w:tabs>
          <w:tab w:leader="none" w:pos="24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financial statements delivered under this agreement shall be the consolidated financial statements of the borrower that is the parent entity of the consolidated group of entities, (ii) the officer executing compliance certificates and borrower base certificates, as and to the extent otherwise required under this agreement, shall be an officer of the borrower that is the parent entity of the consolidated group and (iii) references in this agreement and the Related Documents to the fiscal year of the Borrower shall mean the fiscal year of the borrower that is the parent entity of the consolidated group, in each case if applicable and unless otherwise expressly specified in this agreement.</w:t>
      </w:r>
    </w:p>
    <w:p>
      <w:pPr>
        <w:spacing w:after="0" w:line="187" w:lineRule="exact"/>
        <w:rPr>
          <w:sz w:val="20"/>
          <w:szCs w:val="20"/>
          <w:color w:val="auto"/>
        </w:rPr>
      </w:pPr>
    </w:p>
    <w:p>
      <w:pPr>
        <w:jc w:val="both"/>
        <w:ind w:left="1400" w:firstLine="648"/>
        <w:spacing w:after="0" w:line="266" w:lineRule="auto"/>
        <w:rPr>
          <w:sz w:val="20"/>
          <w:szCs w:val="20"/>
          <w:color w:val="auto"/>
        </w:rPr>
      </w:pPr>
      <w:r>
        <w:rPr>
          <w:rFonts w:ascii="Times New Roman" w:cs="Times New Roman" w:eastAsia="Times New Roman" w:hAnsi="Times New Roman"/>
          <w:sz w:val="18"/>
          <w:szCs w:val="18"/>
          <w:color w:val="auto"/>
        </w:rPr>
        <w:t>Each borrower agrees that notices and demands made by the Bank to or upon any borrower in accordance with this agreement or any of the Related Documents constitutes notice or demand, as applicable, made by the Bank to or upon all borrowers on the date received by such borrower.</w:t>
      </w:r>
    </w:p>
    <w:p>
      <w:pPr>
        <w:spacing w:after="0" w:line="172"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Precedent to Extensions of Credit.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The following conditions must be satisfied before any extension of credit governed by this agreement must be made by the Bank:</w:t>
      </w:r>
    </w:p>
    <w:p>
      <w:pPr>
        <w:spacing w:after="0" w:line="225" w:lineRule="exact"/>
        <w:rPr>
          <w:sz w:val="20"/>
          <w:szCs w:val="20"/>
          <w:color w:val="auto"/>
        </w:rPr>
      </w:pPr>
    </w:p>
    <w:p>
      <w:pPr>
        <w:ind w:left="1400" w:hanging="6"/>
        <w:spacing w:after="0" w:line="286" w:lineRule="auto"/>
        <w:tabs>
          <w:tab w:leader="none" w:pos="185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w:t>
      </w:r>
      <w:r>
        <w:rPr>
          <w:rFonts w:ascii="Times New Roman" w:cs="Times New Roman" w:eastAsia="Times New Roman" w:hAnsi="Times New Roman"/>
          <w:sz w:val="18"/>
          <w:szCs w:val="18"/>
          <w:color w:val="auto"/>
        </w:rPr>
        <w:t>The Borrower and any other parties, represent that all statements and information contained in the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is true and accurate as of the date of the request for credit;</w:t>
      </w:r>
    </w:p>
    <w:p>
      <w:pPr>
        <w:spacing w:after="0" w:line="154" w:lineRule="exact"/>
        <w:rPr>
          <w:rFonts w:ascii="Times New Roman" w:cs="Times New Roman" w:eastAsia="Times New Roman" w:hAnsi="Times New Roman"/>
          <w:sz w:val="18"/>
          <w:szCs w:val="18"/>
          <w:b w:val="1"/>
          <w:bCs w:val="1"/>
          <w:color w:val="auto"/>
        </w:rPr>
      </w:pPr>
    </w:p>
    <w:p>
      <w:pPr>
        <w:jc w:val="both"/>
        <w:ind w:left="1400" w:hanging="6"/>
        <w:spacing w:after="0" w:line="268" w:lineRule="auto"/>
        <w:tabs>
          <w:tab w:leader="none" w:pos="1833"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Event of Default. </w:t>
      </w:r>
      <w:r>
        <w:rPr>
          <w:rFonts w:ascii="Times New Roman" w:cs="Times New Roman" w:eastAsia="Times New Roman" w:hAnsi="Times New Roman"/>
          <w:sz w:val="18"/>
          <w:szCs w:val="18"/>
          <w:color w:val="auto"/>
        </w:rPr>
        <w:t>There has been no default, event of default or event that would constitute a default or event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giving of notice or a lapse of time or both), of any provision of this agreement, the Notes or any other Related Documents or would result from the extension of credit;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both"/>
        <w:ind w:left="1400" w:hanging="6"/>
        <w:spacing w:after="0" w:line="268" w:lineRule="auto"/>
        <w:tabs>
          <w:tab w:leader="none" w:pos="1782"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Loan Documents. </w:t>
      </w:r>
      <w:r>
        <w:rPr>
          <w:rFonts w:ascii="Times New Roman" w:cs="Times New Roman" w:eastAsia="Times New Roman" w:hAnsi="Times New Roman"/>
          <w:sz w:val="18"/>
          <w:szCs w:val="18"/>
          <w:color w:val="auto"/>
        </w:rPr>
        <w:t>The Notes, and any other documents which the Bank may reasonably require to give effect to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this agreement or the other Related Documents have been delivered to the Bank in form and substance satisfactory to the Bank;</w:t>
      </w:r>
    </w:p>
    <w:p>
      <w:pPr>
        <w:spacing w:after="0" w:line="170" w:lineRule="exact"/>
        <w:rPr>
          <w:rFonts w:ascii="Times New Roman" w:cs="Times New Roman" w:eastAsia="Times New Roman" w:hAnsi="Times New Roman"/>
          <w:sz w:val="18"/>
          <w:szCs w:val="18"/>
          <w:b w:val="1"/>
          <w:bCs w:val="1"/>
          <w:color w:val="auto"/>
        </w:rPr>
      </w:pPr>
    </w:p>
    <w:p>
      <w:pPr>
        <w:jc w:val="both"/>
        <w:ind w:left="1400" w:hanging="6"/>
        <w:spacing w:after="0" w:line="257" w:lineRule="auto"/>
        <w:tabs>
          <w:tab w:leader="none" w:pos="1755"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Organizational and Authorizing Documents. </w:t>
      </w:r>
      <w:r>
        <w:rPr>
          <w:rFonts w:ascii="Times New Roman" w:cs="Times New Roman" w:eastAsia="Times New Roman" w:hAnsi="Times New Roman"/>
          <w:sz w:val="18"/>
          <w:szCs w:val="18"/>
          <w:color w:val="auto"/>
        </w:rPr>
        <w:t>The Organizational Documents and all certificates of authority to transact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of good standing, borrowing resolutions, appointments, officer’s certificates, certificates of incumbency, and other documents which empower and authorize or evidence the power and authority of the Borrower or any Obligor to execute and deliver the Notes and Related Documents (i) are within its powers, (ii) have been duly authorized by all necessary action of its governing body, (iii) do not contravene the terms of its Organizational Documents or other agreement or document governing its affairs, and (iv) have been delivered to the Bank in a form and substance satisfactory to the Bank; and</w:t>
      </w:r>
    </w:p>
    <w:p>
      <w:pPr>
        <w:spacing w:after="0" w:line="182" w:lineRule="exact"/>
        <w:rPr>
          <w:rFonts w:ascii="Times New Roman" w:cs="Times New Roman" w:eastAsia="Times New Roman" w:hAnsi="Times New Roman"/>
          <w:sz w:val="18"/>
          <w:szCs w:val="18"/>
          <w:b w:val="1"/>
          <w:bCs w:val="1"/>
          <w:color w:val="auto"/>
        </w:rPr>
      </w:pPr>
    </w:p>
    <w:p>
      <w:pPr>
        <w:ind w:left="1400" w:hanging="6"/>
        <w:spacing w:after="0" w:line="286" w:lineRule="auto"/>
        <w:tabs>
          <w:tab w:leader="none" w:pos="1751"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Prohibition or Onerous Conditions. </w:t>
      </w:r>
      <w:r>
        <w:rPr>
          <w:rFonts w:ascii="Times New Roman" w:cs="Times New Roman" w:eastAsia="Times New Roman" w:hAnsi="Times New Roman"/>
          <w:sz w:val="18"/>
          <w:szCs w:val="18"/>
          <w:color w:val="auto"/>
        </w:rPr>
        <w:t>The making of the extension of credit is not prohibited by and does not subject the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Obligor, or any Subsidiary of the Borrower to any penalty or onerous condition.</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Affirmative Covenants. </w:t>
      </w:r>
      <w:r>
        <w:rPr>
          <w:rFonts w:ascii="Times New Roman" w:cs="Times New Roman" w:eastAsia="Times New Roman" w:hAnsi="Times New Roman"/>
          <w:sz w:val="18"/>
          <w:szCs w:val="18"/>
          <w:color w:val="auto"/>
        </w:rPr>
        <w:t>The Borrower agrees to do, and cause each of its Subsidiaries to do, each of the following:</w:t>
      </w:r>
    </w:p>
    <w:p>
      <w:pPr>
        <w:spacing w:after="0" w:line="225" w:lineRule="exact"/>
        <w:rPr>
          <w:sz w:val="20"/>
          <w:szCs w:val="20"/>
          <w:color w:val="auto"/>
        </w:rPr>
      </w:pPr>
    </w:p>
    <w:p>
      <w:pPr>
        <w:jc w:val="both"/>
        <w:ind w:left="840" w:right="20" w:hanging="377"/>
        <w:spacing w:after="0" w:line="262"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4.1</w:t>
        <w:tab/>
        <w:t xml:space="preserve">Insurance. </w:t>
      </w:r>
      <w:r>
        <w:rPr>
          <w:rFonts w:ascii="Times New Roman" w:cs="Times New Roman" w:eastAsia="Times New Roman" w:hAnsi="Times New Roman"/>
          <w:sz w:val="18"/>
          <w:szCs w:val="18"/>
          <w:color w:val="auto"/>
        </w:rPr>
        <w:t>Maintain insurance with financially sound and reputable insurers, that are satisfactory to the Bank. The insurance will cover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and business against those casualties and contingencies and in the types and amounts according to sound business and industry practices, and furnish to the Bank, upon request, reports on each existing insurance policy showing such information as the Bank may reasonably request.</w:t>
      </w:r>
    </w:p>
    <w:p>
      <w:pPr>
        <w:spacing w:after="0" w:line="176" w:lineRule="exact"/>
        <w:rPr>
          <w:sz w:val="20"/>
          <w:szCs w:val="20"/>
          <w:color w:val="auto"/>
        </w:rPr>
      </w:pPr>
    </w:p>
    <w:p>
      <w:pPr>
        <w:jc w:val="both"/>
        <w:ind w:left="840" w:right="20" w:hanging="36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Financial Records. </w:t>
      </w:r>
      <w:r>
        <w:rPr>
          <w:rFonts w:ascii="Times New Roman" w:cs="Times New Roman" w:eastAsia="Times New Roman" w:hAnsi="Times New Roman"/>
          <w:sz w:val="18"/>
          <w:szCs w:val="18"/>
          <w:color w:val="auto"/>
        </w:rPr>
        <w:t>Maintain proper books and records according to GAAP, that are consistent with financial statements previously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Bank.</w:t>
      </w:r>
    </w:p>
    <w:p>
      <w:pPr>
        <w:spacing w:after="0" w:line="155" w:lineRule="exact"/>
        <w:rPr>
          <w:sz w:val="20"/>
          <w:szCs w:val="20"/>
          <w:color w:val="auto"/>
        </w:rPr>
      </w:pPr>
    </w:p>
    <w:p>
      <w:pPr>
        <w:jc w:val="both"/>
        <w:ind w:left="840" w:hanging="377"/>
        <w:spacing w:after="0" w:line="25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4.3</w:t>
        <w:tab/>
        <w:t xml:space="preserve">Inspection. </w:t>
      </w:r>
      <w:r>
        <w:rPr>
          <w:rFonts w:ascii="Times New Roman" w:cs="Times New Roman" w:eastAsia="Times New Roman" w:hAnsi="Times New Roman"/>
          <w:sz w:val="18"/>
          <w:szCs w:val="18"/>
          <w:color w:val="auto"/>
        </w:rPr>
        <w:t>Permit the Bank, and its agents to: (a) inspect and photograph its Property, to examine and copy files, books and records,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 its business, operations, prospects, assets, and financial condition with the Borrower's or its Subsidiaries' officers and accountants, at times and intervals as the Bank reasonably determines; (b) perform audits, appraisals or other inspections of the Collateral, including the records and documents related to the Collateral; and (c) confirm with any Person any obligations and liabilities of the Person to the Borrower or its Subsidiaries. The Borrower will, and will cause its Subsidiaries to cooperate with any inspection, appraisal or audit. The Borrower will promptly pay the Bank the reasonable costs and expenses of any audit or inspection of the Collateral (including fees and expenses charged internally by the Bank).</w:t>
      </w:r>
    </w:p>
    <w:p>
      <w:pPr>
        <w:spacing w:after="0" w:line="183" w:lineRule="exact"/>
        <w:rPr>
          <w:sz w:val="20"/>
          <w:szCs w:val="20"/>
          <w:color w:val="auto"/>
        </w:rPr>
      </w:pPr>
    </w:p>
    <w:p>
      <w:pPr>
        <w:jc w:val="both"/>
        <w:ind w:left="840" w:hanging="377"/>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4.4</w:t>
        <w:tab/>
        <w:t xml:space="preserve">Other Agreements. </w:t>
      </w:r>
      <w:r>
        <w:rPr>
          <w:rFonts w:ascii="Times New Roman" w:cs="Times New Roman" w:eastAsia="Times New Roman" w:hAnsi="Times New Roman"/>
          <w:sz w:val="18"/>
          <w:szCs w:val="18"/>
          <w:color w:val="auto"/>
        </w:rPr>
        <w:t>Comply with all terms and conditions of all material agreements, whether now or hereafter existing, between it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w:t>
      </w:r>
    </w:p>
    <w:p>
      <w:pPr>
        <w:spacing w:after="0" w:line="155" w:lineRule="exact"/>
        <w:rPr>
          <w:sz w:val="20"/>
          <w:szCs w:val="20"/>
          <w:color w:val="auto"/>
        </w:rPr>
      </w:pPr>
    </w:p>
    <w:p>
      <w:pPr>
        <w:jc w:val="both"/>
        <w:ind w:left="820" w:hanging="36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4.5 Financial Reports. </w:t>
      </w:r>
      <w:r>
        <w:rPr>
          <w:rFonts w:ascii="Times New Roman" w:cs="Times New Roman" w:eastAsia="Times New Roman" w:hAnsi="Times New Roman"/>
          <w:sz w:val="18"/>
          <w:szCs w:val="18"/>
          <w:color w:val="auto"/>
        </w:rPr>
        <w:t>Furnish to the Bank whatever information, statements, books and records the Bank may from time to time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including at a minimum:</w:t>
      </w:r>
    </w:p>
    <w:p>
      <w:pPr>
        <w:spacing w:after="0" w:line="159" w:lineRule="exact"/>
        <w:rPr>
          <w:sz w:val="20"/>
          <w:szCs w:val="20"/>
          <w:color w:val="auto"/>
        </w:rPr>
      </w:pPr>
    </w:p>
    <w:p>
      <w:pPr>
        <w:jc w:val="both"/>
        <w:ind w:left="1400" w:hanging="6"/>
        <w:spacing w:after="0" w:line="258" w:lineRule="auto"/>
        <w:tabs>
          <w:tab w:leader="none" w:pos="1769"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forty-five (45) days after and as of the end of each fiscal quarter, the consolidated financial statements of the Borrower and its Subsidiaries prepared in accordance with GAAP, including a balance sheet as of the end of that period, and income statement for that period, and, if requested by the Bank, statements of cash flow and retained earnings for that period, all certified as correct by one of its authorized agents; provided, that to the extent any of the foregoing is available on the SEC EDGAR website, delivery to the Bank shall be deemed to have occurred upon availability of such financial statements on such website.</w:t>
      </w:r>
    </w:p>
    <w:p>
      <w:pPr>
        <w:spacing w:after="0" w:line="183" w:lineRule="exact"/>
        <w:rPr>
          <w:rFonts w:ascii="Times New Roman" w:cs="Times New Roman" w:eastAsia="Times New Roman" w:hAnsi="Times New Roman"/>
          <w:sz w:val="18"/>
          <w:szCs w:val="18"/>
          <w:b w:val="1"/>
          <w:bCs w:val="1"/>
          <w:color w:val="auto"/>
        </w:rPr>
      </w:pPr>
    </w:p>
    <w:p>
      <w:pPr>
        <w:jc w:val="both"/>
        <w:ind w:left="1400" w:hanging="6"/>
        <w:spacing w:after="0" w:line="258" w:lineRule="auto"/>
        <w:tabs>
          <w:tab w:leader="none" w:pos="174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one hundred and twenty (120) days after and as of the end of each of its fiscal years, the consolidated financial statements of the Borrower and its Subsidiaries prepared in accordance with GAAP, including a balance sheet and statements of income, cash flow and retained earnings, such financial statements to be audited by an independent certified public accountant of recognized standing satisfactory to the Bank; provided, that to the extent any of the foregoing is available on the SEC EDGAR website, delivery to the Bank shall be deemed to have occurred upon availability of such financial statements on such website.</w:t>
      </w:r>
    </w:p>
    <w:p>
      <w:pPr>
        <w:spacing w:after="0" w:line="183" w:lineRule="exact"/>
        <w:rPr>
          <w:rFonts w:ascii="Times New Roman" w:cs="Times New Roman" w:eastAsia="Times New Roman" w:hAnsi="Times New Roman"/>
          <w:sz w:val="18"/>
          <w:szCs w:val="18"/>
          <w:b w:val="1"/>
          <w:bCs w:val="1"/>
          <w:color w:val="auto"/>
        </w:rPr>
      </w:pPr>
    </w:p>
    <w:p>
      <w:pPr>
        <w:ind w:left="1400" w:hanging="6"/>
        <w:spacing w:after="0" w:line="282" w:lineRule="auto"/>
        <w:tabs>
          <w:tab w:leader="none" w:pos="177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forty-five (45) days after each fiscal year end, the projected financial statements for the fiscal year then commencing, all in form and detail as is acceptable to the Bank.</w:t>
      </w:r>
    </w:p>
    <w:p>
      <w:pPr>
        <w:spacing w:after="0" w:line="157" w:lineRule="exact"/>
        <w:rPr>
          <w:rFonts w:ascii="Times New Roman" w:cs="Times New Roman" w:eastAsia="Times New Roman" w:hAnsi="Times New Roman"/>
          <w:sz w:val="18"/>
          <w:szCs w:val="18"/>
          <w:b w:val="1"/>
          <w:bCs w:val="1"/>
          <w:color w:val="auto"/>
        </w:rPr>
      </w:pPr>
    </w:p>
    <w:p>
      <w:pPr>
        <w:jc w:val="both"/>
        <w:ind w:left="1400" w:hanging="6"/>
        <w:spacing w:after="0" w:line="262" w:lineRule="auto"/>
        <w:tabs>
          <w:tab w:leader="none" w:pos="176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Certificates. </w:t>
      </w:r>
      <w:r>
        <w:rPr>
          <w:rFonts w:ascii="Times New Roman" w:cs="Times New Roman" w:eastAsia="Times New Roman" w:hAnsi="Times New Roman"/>
          <w:sz w:val="18"/>
          <w:szCs w:val="18"/>
          <w:color w:val="auto"/>
        </w:rPr>
        <w:t>Provide the Bank, within forty-five (45) days after the end of each fiscal quarter and at such other 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Bank may request, with a Compliance Certificate in form satisfactory to the Bank, certified and executed by Borrower’s chief financial officer, or other officer satisfactory to the Bank. In the event of a conflict between this agreement and the Compliance Certificate, the terms of this agreement shall control.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both"/>
        <w:ind w:left="860" w:hanging="390"/>
        <w:spacing w:after="0" w:line="259" w:lineRule="auto"/>
        <w:tabs>
          <w:tab w:leader="none" w:pos="840" w:val="left"/>
        </w:tabs>
        <w:rPr>
          <w:sz w:val="20"/>
          <w:szCs w:val="20"/>
          <w:color w:val="auto"/>
        </w:rPr>
      </w:pPr>
      <w:r>
        <w:rPr>
          <w:rFonts w:ascii="Times New Roman" w:cs="Times New Roman" w:eastAsia="Times New Roman" w:hAnsi="Times New Roman"/>
          <w:sz w:val="18"/>
          <w:szCs w:val="18"/>
          <w:b w:val="1"/>
          <w:bCs w:val="1"/>
          <w:color w:val="auto"/>
        </w:rPr>
        <w:t>4.6</w:t>
        <w:tab/>
        <w:t xml:space="preserve">Notices of Claims, Litigation, Defaults, etc. </w:t>
      </w:r>
      <w:r>
        <w:rPr>
          <w:rFonts w:ascii="Times New Roman" w:cs="Times New Roman" w:eastAsia="Times New Roman" w:hAnsi="Times New Roman"/>
          <w:sz w:val="18"/>
          <w:szCs w:val="18"/>
          <w:color w:val="auto"/>
        </w:rPr>
        <w:t>Promptly inform the Bank in writing of: (1) all existing and threatened litigation,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administrative proceedings and similar actions or changes in Legal Requirements affecting it, of which it has knowledge, and could materially affect its business, assets, affairs, prospects or financial condition; (2) the occurrence of any event which gives rise to the Bank's option to terminate the Credit Facilities; (3) any additions to or changes in the locations of its businesses; and (4) any alleged breach by the Bank of any provision of this agreement or of any other Related Document.</w:t>
      </w:r>
    </w:p>
    <w:p>
      <w:pPr>
        <w:spacing w:after="0" w:line="179" w:lineRule="exact"/>
        <w:rPr>
          <w:sz w:val="20"/>
          <w:szCs w:val="20"/>
          <w:color w:val="auto"/>
        </w:rPr>
      </w:pPr>
    </w:p>
    <w:p>
      <w:pPr>
        <w:jc w:val="both"/>
        <w:ind w:left="860" w:hanging="390"/>
        <w:spacing w:after="0" w:line="286" w:lineRule="auto"/>
        <w:tabs>
          <w:tab w:leader="none" w:pos="840" w:val="left"/>
        </w:tabs>
        <w:rPr>
          <w:sz w:val="20"/>
          <w:szCs w:val="20"/>
          <w:color w:val="auto"/>
        </w:rPr>
      </w:pPr>
      <w:r>
        <w:rPr>
          <w:rFonts w:ascii="Times New Roman" w:cs="Times New Roman" w:eastAsia="Times New Roman" w:hAnsi="Times New Roman"/>
          <w:sz w:val="18"/>
          <w:szCs w:val="18"/>
          <w:b w:val="1"/>
          <w:bCs w:val="1"/>
          <w:color w:val="auto"/>
        </w:rPr>
        <w:t>4.7</w:t>
        <w:tab/>
        <w:t xml:space="preserve">Title to Assets and Property. </w:t>
      </w:r>
      <w:r>
        <w:rPr>
          <w:rFonts w:ascii="Times New Roman" w:cs="Times New Roman" w:eastAsia="Times New Roman" w:hAnsi="Times New Roman"/>
          <w:sz w:val="18"/>
          <w:szCs w:val="18"/>
          <w:color w:val="auto"/>
        </w:rPr>
        <w:t>Maintain good and marketable title to all of its Properties, and defend them against all claims and demands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at any time claiming any interest in them.</w:t>
      </w:r>
    </w:p>
    <w:p>
      <w:pPr>
        <w:spacing w:after="0" w:line="155" w:lineRule="exact"/>
        <w:rPr>
          <w:sz w:val="20"/>
          <w:szCs w:val="20"/>
          <w:color w:val="auto"/>
        </w:rPr>
      </w:pPr>
    </w:p>
    <w:p>
      <w:pPr>
        <w:jc w:val="both"/>
        <w:ind w:left="860" w:hanging="390"/>
        <w:spacing w:after="0" w:line="268" w:lineRule="auto"/>
        <w:tabs>
          <w:tab w:leader="none" w:pos="840" w:val="left"/>
        </w:tabs>
        <w:rPr>
          <w:sz w:val="20"/>
          <w:szCs w:val="20"/>
          <w:color w:val="auto"/>
        </w:rPr>
      </w:pPr>
      <w:r>
        <w:rPr>
          <w:rFonts w:ascii="Times New Roman" w:cs="Times New Roman" w:eastAsia="Times New Roman" w:hAnsi="Times New Roman"/>
          <w:sz w:val="18"/>
          <w:szCs w:val="18"/>
          <w:b w:val="1"/>
          <w:bCs w:val="1"/>
          <w:color w:val="auto"/>
        </w:rPr>
        <w:t>4.8</w:t>
        <w:tab/>
        <w:t xml:space="preserve">Additional Assurances. </w:t>
      </w:r>
      <w:r>
        <w:rPr>
          <w:rFonts w:ascii="Times New Roman" w:cs="Times New Roman" w:eastAsia="Times New Roman" w:hAnsi="Times New Roman"/>
          <w:sz w:val="18"/>
          <w:szCs w:val="18"/>
          <w:color w:val="auto"/>
        </w:rPr>
        <w:t>Promptly make, execute and deliver any and all agreements, documents, and instruments that the Bank may request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any of the Credit Facilities, cure any defect in the execution and delivery of any of the Related Documents, perfect any Lien or comply with any Legal Requirement applicable to the Bank or the Credit Facilities.</w:t>
      </w:r>
    </w:p>
    <w:p>
      <w:pPr>
        <w:spacing w:after="0" w:line="171" w:lineRule="exact"/>
        <w:rPr>
          <w:sz w:val="20"/>
          <w:szCs w:val="20"/>
          <w:color w:val="auto"/>
        </w:rPr>
      </w:pPr>
    </w:p>
    <w:p>
      <w:pPr>
        <w:jc w:val="both"/>
        <w:ind w:left="840" w:right="20" w:hanging="39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4.9</w:t>
        <w:tab/>
        <w:t xml:space="preserve">Employee Benefit Plans. </w:t>
      </w:r>
      <w:r>
        <w:rPr>
          <w:rFonts w:ascii="Times New Roman" w:cs="Times New Roman" w:eastAsia="Times New Roman" w:hAnsi="Times New Roman"/>
          <w:sz w:val="18"/>
          <w:szCs w:val="18"/>
          <w:color w:val="auto"/>
        </w:rPr>
        <w:t>Maintain each employee benefit plan as to which it may have any liability, in compliance with all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4.10 Banking Relationship. </w:t>
      </w:r>
      <w:r>
        <w:rPr>
          <w:rFonts w:ascii="Times New Roman" w:cs="Times New Roman" w:eastAsia="Times New Roman" w:hAnsi="Times New Roman"/>
          <w:sz w:val="18"/>
          <w:szCs w:val="18"/>
          <w:color w:val="auto"/>
        </w:rPr>
        <w:t>Establish and maintain its primary banking depository and disbursement relationship with the Bank.</w:t>
      </w:r>
    </w:p>
    <w:p>
      <w:pPr>
        <w:spacing w:after="0" w:line="225" w:lineRule="exact"/>
        <w:rPr>
          <w:sz w:val="20"/>
          <w:szCs w:val="20"/>
          <w:color w:val="auto"/>
        </w:rPr>
      </w:pPr>
    </w:p>
    <w:p>
      <w:pPr>
        <w:jc w:val="both"/>
        <w:ind w:left="880" w:hanging="43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4.11 Compliance with Anti-Corruption Laws and Sanctions. </w:t>
      </w:r>
      <w:r>
        <w:rPr>
          <w:rFonts w:ascii="Times New Roman" w:cs="Times New Roman" w:eastAsia="Times New Roman" w:hAnsi="Times New Roman"/>
          <w:sz w:val="18"/>
          <w:szCs w:val="18"/>
          <w:color w:val="auto"/>
        </w:rPr>
        <w:t>Maintain in effect and enforce policies and procedures designed to ensure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by the Borrower, its Subsidiaries and their respective directors, officers, employees and agents with Anti-Corruption Laws and applicable Sanctions.</w:t>
      </w:r>
    </w:p>
    <w:p>
      <w:pPr>
        <w:spacing w:after="0" w:line="171"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Negative Covenants.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Without the Bank's prior written consent, the Borrower will not and no Subsidiary of the Borrower will:</w:t>
      </w:r>
    </w:p>
    <w:p>
      <w:pPr>
        <w:spacing w:after="0" w:line="225" w:lineRule="exact"/>
        <w:rPr>
          <w:sz w:val="20"/>
          <w:szCs w:val="20"/>
          <w:color w:val="auto"/>
        </w:rPr>
      </w:pPr>
    </w:p>
    <w:p>
      <w:pPr>
        <w:jc w:val="both"/>
        <w:ind w:left="1400" w:hanging="6"/>
        <w:spacing w:after="0" w:line="262" w:lineRule="auto"/>
        <w:tabs>
          <w:tab w:leader="none" w:pos="190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Distributions. </w:t>
      </w:r>
      <w:r>
        <w:rPr>
          <w:rFonts w:ascii="Times New Roman" w:cs="Times New Roman" w:eastAsia="Times New Roman" w:hAnsi="Times New Roman"/>
          <w:sz w:val="18"/>
          <w:szCs w:val="18"/>
          <w:color w:val="auto"/>
        </w:rPr>
        <w:t>Redeem, retire, purchase or otherwise acquire, directly or indirectly, any of its Equity Interests, return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 to an Equity Owner or, other than stock dividends and dividends paid to the Borrower, declare or pay any Distributions; provided, however, that if there is no existing default under this agreement or any other Related Document and to do so will not cause a default under this agreement or any other Related Document the Borrower may pay Distributions to its Equity Owners.</w:t>
      </w:r>
    </w:p>
    <w:p>
      <w:pPr>
        <w:spacing w:after="0" w:line="176" w:lineRule="exact"/>
        <w:rPr>
          <w:rFonts w:ascii="Times New Roman" w:cs="Times New Roman" w:eastAsia="Times New Roman" w:hAnsi="Times New Roman"/>
          <w:sz w:val="18"/>
          <w:szCs w:val="18"/>
          <w:b w:val="1"/>
          <w:bCs w:val="1"/>
          <w:color w:val="auto"/>
        </w:rPr>
      </w:pPr>
    </w:p>
    <w:p>
      <w:pPr>
        <w:jc w:val="both"/>
        <w:ind w:left="1400" w:hanging="6"/>
        <w:spacing w:after="0" w:line="259" w:lineRule="auto"/>
        <w:tabs>
          <w:tab w:leader="none" w:pos="178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color w:val="auto"/>
        </w:rPr>
        <w:t>Incur, contract for, assume, or permit to remain outstanding, indebtedness for borrowed money, installment obligations,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finance leases, other than (1) unsecured trade debt incurred in the ordinary course of business, (2) indebtedness owing to the Bank, (3) indebtedness outstanding as of the date hereof that has been disclosed to the Bank in writing and that is not to be paid with proceeds of borrowings under the Credit Facilities, and (4) purchase money indebtedness of up to $2,000,000.00 in the aggregate principal amount at any time outstanding.</w:t>
      </w:r>
    </w:p>
    <w:p>
      <w:pPr>
        <w:spacing w:after="0" w:line="179" w:lineRule="exact"/>
        <w:rPr>
          <w:rFonts w:ascii="Times New Roman" w:cs="Times New Roman" w:eastAsia="Times New Roman" w:hAnsi="Times New Roman"/>
          <w:sz w:val="18"/>
          <w:szCs w:val="18"/>
          <w:b w:val="1"/>
          <w:bCs w:val="1"/>
          <w:color w:val="auto"/>
        </w:rPr>
      </w:pPr>
    </w:p>
    <w:p>
      <w:pPr>
        <w:ind w:left="1740" w:hanging="346"/>
        <w:spacing w:after="0"/>
        <w:tabs>
          <w:tab w:leader="none" w:pos="17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Guaranties. </w:t>
      </w:r>
      <w:r>
        <w:rPr>
          <w:rFonts w:ascii="Times New Roman" w:cs="Times New Roman" w:eastAsia="Times New Roman" w:hAnsi="Times New Roman"/>
          <w:sz w:val="18"/>
          <w:szCs w:val="18"/>
          <w:color w:val="auto"/>
        </w:rPr>
        <w:t>Guarantee or otherwise become or remain liable on the undertaking of another.</w:t>
      </w:r>
    </w:p>
    <w:p>
      <w:pPr>
        <w:spacing w:after="0" w:line="225" w:lineRule="exact"/>
        <w:rPr>
          <w:rFonts w:ascii="Times New Roman" w:cs="Times New Roman" w:eastAsia="Times New Roman" w:hAnsi="Times New Roman"/>
          <w:sz w:val="18"/>
          <w:szCs w:val="18"/>
          <w:b w:val="1"/>
          <w:bCs w:val="1"/>
          <w:color w:val="auto"/>
        </w:rPr>
      </w:pPr>
    </w:p>
    <w:p>
      <w:pPr>
        <w:jc w:val="both"/>
        <w:ind w:left="1400" w:hanging="6"/>
        <w:spacing w:after="0" w:line="262" w:lineRule="auto"/>
        <w:tabs>
          <w:tab w:leader="none" w:pos="177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Liens. </w:t>
      </w:r>
      <w:r>
        <w:rPr>
          <w:rFonts w:ascii="Times New Roman" w:cs="Times New Roman" w:eastAsia="Times New Roman" w:hAnsi="Times New Roman"/>
          <w:sz w:val="18"/>
          <w:szCs w:val="18"/>
          <w:color w:val="auto"/>
        </w:rPr>
        <w:t>Create or permit to exist any Lien on any of its Property except: existing Liens known to and approved by the Bank; Liens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Bank; Liens incurred in the ordinary course of business securing current non- delinquent liabilities for taxes, worker’s compensation, unemployment insurance, social security and pension liabilities; and purchase money security interests which secure any purchase money indebtedness permitted under this agreement.</w:t>
      </w:r>
    </w:p>
    <w:p>
      <w:pPr>
        <w:spacing w:after="0" w:line="176" w:lineRule="exact"/>
        <w:rPr>
          <w:rFonts w:ascii="Times New Roman" w:cs="Times New Roman" w:eastAsia="Times New Roman" w:hAnsi="Times New Roman"/>
          <w:sz w:val="18"/>
          <w:szCs w:val="18"/>
          <w:b w:val="1"/>
          <w:bCs w:val="1"/>
          <w:color w:val="auto"/>
        </w:rPr>
      </w:pPr>
    </w:p>
    <w:p>
      <w:pPr>
        <w:jc w:val="both"/>
        <w:ind w:left="1400" w:hanging="6"/>
        <w:spacing w:after="0" w:line="257" w:lineRule="auto"/>
        <w:tabs>
          <w:tab w:leader="none" w:pos="176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w:t>
      </w:r>
      <w:r>
        <w:rPr>
          <w:rFonts w:ascii="Times New Roman" w:cs="Times New Roman" w:eastAsia="Times New Roman" w:hAnsi="Times New Roman"/>
          <w:sz w:val="18"/>
          <w:szCs w:val="18"/>
          <w:color w:val="auto"/>
        </w:rPr>
        <w:t>Use any proceeds of the Credit Facilities: (1) for any personal, family or household purpose; (2) for the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"purchasing or carrying any margin stock" within the meaning of Federal Reserve Board Regulation U; (3) in furtherance of an offer, payment, promise to pay, or authorization of the payment or giving of money, or anything else of value, to any Person in violation of any Anti-Corruption Laws; (4) for the purpose of funding, financing or facilitating any activities, business or transaction of or with any Sanctioned Person, or in any Sanctioned Country except to the extent permitted for a person required to comply with Sanctions; or (5) in any manner that would result in the violation of any Sanctions.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jc w:val="both"/>
        <w:ind w:left="900" w:hanging="6"/>
        <w:spacing w:after="0" w:line="254" w:lineRule="auto"/>
        <w:tabs>
          <w:tab w:leader="none" w:pos="13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Operations and Continuity of Operations. </w:t>
      </w:r>
      <w:r>
        <w:rPr>
          <w:rFonts w:ascii="Times New Roman" w:cs="Times New Roman" w:eastAsia="Times New Roman" w:hAnsi="Times New Roman"/>
          <w:sz w:val="18"/>
          <w:szCs w:val="18"/>
          <w:color w:val="auto"/>
        </w:rPr>
        <w:t>(1) Engage in any business activities (a) in violation of any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(b) substantially different from those in which it is presently engaged; (2) fail to maintain its existence, cease operations, liquidate, merge, transfer, acquire or consolidate with any other Person, change its name, dissolve, divide, or allocate any assets under any plan of division or similar arrangement, create any series limited liability company, allocate any property to any series, or sell any assets out of the ordinary course of business; (3) enter into or permit to exist any arrangement with any Person providing for the leasing by it of Property which has been sold or transferred by it to such Person; (4) change its business organization, the jurisdiction under which its business organization is formed or organized, or its chief executive office, or any places of its businesses; or (5) if the Borrower is an individual, change the name on his/her driver’s license or state issued identification card, as applicable, without notifying the Bank within thirty (30) days of the change, or change the state of his/her principal residence, without notifying the Bank within thirty (30) days of the change.</w:t>
      </w:r>
    </w:p>
    <w:p>
      <w:pPr>
        <w:spacing w:after="0" w:line="185" w:lineRule="exact"/>
        <w:rPr>
          <w:rFonts w:ascii="Times New Roman" w:cs="Times New Roman" w:eastAsia="Times New Roman" w:hAnsi="Times New Roman"/>
          <w:sz w:val="18"/>
          <w:szCs w:val="18"/>
          <w:b w:val="1"/>
          <w:bCs w:val="1"/>
          <w:color w:val="auto"/>
        </w:rPr>
      </w:pPr>
    </w:p>
    <w:p>
      <w:pPr>
        <w:jc w:val="both"/>
        <w:ind w:left="900" w:hanging="6"/>
        <w:spacing w:after="0" w:line="268" w:lineRule="auto"/>
        <w:tabs>
          <w:tab w:leader="none" w:pos="128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on Negative Pledge Clauses. </w:t>
      </w:r>
      <w:r>
        <w:rPr>
          <w:rFonts w:ascii="Times New Roman" w:cs="Times New Roman" w:eastAsia="Times New Roman" w:hAnsi="Times New Roman"/>
          <w:sz w:val="18"/>
          <w:szCs w:val="18"/>
          <w:color w:val="auto"/>
        </w:rPr>
        <w:t>Except as otherwise expressly permitted by this Agreement, enter into or permit to exist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with any Person other than the Bank which prohibits or limits its ability to create or permit to exist any Lien on any of its Property, whether now owned or hereafter acquired.</w:t>
      </w:r>
    </w:p>
    <w:p>
      <w:pPr>
        <w:spacing w:after="0" w:line="170" w:lineRule="exact"/>
        <w:rPr>
          <w:rFonts w:ascii="Times New Roman" w:cs="Times New Roman" w:eastAsia="Times New Roman" w:hAnsi="Times New Roman"/>
          <w:sz w:val="18"/>
          <w:szCs w:val="18"/>
          <w:b w:val="1"/>
          <w:bCs w:val="1"/>
          <w:color w:val="auto"/>
        </w:rPr>
      </w:pPr>
    </w:p>
    <w:p>
      <w:pPr>
        <w:ind w:left="900" w:hanging="6"/>
        <w:spacing w:after="0" w:line="286" w:lineRule="auto"/>
        <w:tabs>
          <w:tab w:leader="none" w:pos="138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Conflicting Agreements. </w:t>
      </w:r>
      <w:r>
        <w:rPr>
          <w:rFonts w:ascii="Times New Roman" w:cs="Times New Roman" w:eastAsia="Times New Roman" w:hAnsi="Times New Roman"/>
          <w:sz w:val="18"/>
          <w:szCs w:val="18"/>
          <w:color w:val="auto"/>
        </w:rPr>
        <w:t>Enter into or permit to exist any agreement containing any provision which would be violated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breached by the performance of its obligations under this agreement or any of the other Related Documents.</w:t>
      </w:r>
    </w:p>
    <w:p>
      <w:pPr>
        <w:spacing w:after="0" w:line="154"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of Ownership. </w:t>
      </w:r>
      <w:r>
        <w:rPr>
          <w:rFonts w:ascii="Times New Roman" w:cs="Times New Roman" w:eastAsia="Times New Roman" w:hAnsi="Times New Roman"/>
          <w:sz w:val="18"/>
          <w:szCs w:val="18"/>
          <w:color w:val="auto"/>
        </w:rPr>
        <w:t>Permit any pledge, sale or other transfer of any Equity Interest in it.</w:t>
      </w:r>
    </w:p>
    <w:p>
      <w:pPr>
        <w:spacing w:after="0" w:line="225" w:lineRule="exact"/>
        <w:rPr>
          <w:rFonts w:ascii="Times New Roman" w:cs="Times New Roman" w:eastAsia="Times New Roman" w:hAnsi="Times New Roman"/>
          <w:sz w:val="18"/>
          <w:szCs w:val="18"/>
          <w:b w:val="1"/>
          <w:bCs w:val="1"/>
          <w:color w:val="auto"/>
        </w:rPr>
      </w:pPr>
    </w:p>
    <w:p>
      <w:pPr>
        <w:jc w:val="both"/>
        <w:ind w:left="900" w:hanging="6"/>
        <w:spacing w:after="0" w:line="256" w:lineRule="auto"/>
        <w:tabs>
          <w:tab w:leader="none" w:pos="133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on Loans, Advances, Investments, and Receivables. </w:t>
      </w:r>
      <w:r>
        <w:rPr>
          <w:rFonts w:ascii="Times New Roman" w:cs="Times New Roman" w:eastAsia="Times New Roman" w:hAnsi="Times New Roman"/>
          <w:sz w:val="18"/>
          <w:szCs w:val="18"/>
          <w:color w:val="auto"/>
        </w:rPr>
        <w:t>Purchase, hold or acquire any Equity Interest or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of, make or permit to exist any loans or advances to, permit to exist any receivable from, or make or permit to exist any investment or acquire any interest whatsoever in, any Person, except: (1) extensions of trade credit to customers in the ordinary course of business on ordinary terms; (2) commercial paper, certificates of deposit, US Treasury or other governmental agency obligations; and</w:t>
      </w:r>
    </w:p>
    <w:p>
      <w:pPr>
        <w:spacing w:after="0" w:line="3" w:lineRule="exact"/>
        <w:rPr>
          <w:rFonts w:ascii="Times New Roman" w:cs="Times New Roman" w:eastAsia="Times New Roman" w:hAnsi="Times New Roman"/>
          <w:sz w:val="18"/>
          <w:szCs w:val="18"/>
          <w:b w:val="1"/>
          <w:bCs w:val="1"/>
          <w:color w:val="auto"/>
        </w:rPr>
      </w:pPr>
    </w:p>
    <w:p>
      <w:pPr>
        <w:ind w:left="9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 loans, advances, investments and receivables existing as of the date of this agreement that have been disclosed to and approved by the Bank in writing and that are not to be paid with proceeds of borrowings under the Credit Facilities.</w:t>
      </w:r>
    </w:p>
    <w:p>
      <w:pPr>
        <w:spacing w:after="0" w:line="177" w:lineRule="exact"/>
        <w:rPr>
          <w:rFonts w:ascii="Times New Roman" w:cs="Times New Roman" w:eastAsia="Times New Roman" w:hAnsi="Times New Roman"/>
          <w:sz w:val="18"/>
          <w:szCs w:val="18"/>
          <w:b w:val="1"/>
          <w:bCs w:val="1"/>
          <w:color w:val="auto"/>
        </w:rPr>
      </w:pPr>
    </w:p>
    <w:p>
      <w:pPr>
        <w:ind w:left="900" w:hanging="6"/>
        <w:spacing w:after="0" w:line="286" w:lineRule="auto"/>
        <w:tabs>
          <w:tab w:leader="none" w:pos="126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Organizational Documents. </w:t>
      </w:r>
      <w:r>
        <w:rPr>
          <w:rFonts w:ascii="Times New Roman" w:cs="Times New Roman" w:eastAsia="Times New Roman" w:hAnsi="Times New Roman"/>
          <w:sz w:val="18"/>
          <w:szCs w:val="18"/>
          <w:color w:val="auto"/>
        </w:rPr>
        <w:t>Unless at least thirty (30) day prior written notice is provided to the Bank, amend or modify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Organizational Documents.</w:t>
      </w:r>
    </w:p>
    <w:p>
      <w:pPr>
        <w:spacing w:after="0" w:line="154" w:lineRule="exact"/>
        <w:rPr>
          <w:rFonts w:ascii="Times New Roman" w:cs="Times New Roman" w:eastAsia="Times New Roman" w:hAnsi="Times New Roman"/>
          <w:sz w:val="18"/>
          <w:szCs w:val="18"/>
          <w:b w:val="1"/>
          <w:bCs w:val="1"/>
          <w:color w:val="auto"/>
        </w:rPr>
      </w:pPr>
    </w:p>
    <w:p>
      <w:pPr>
        <w:jc w:val="both"/>
        <w:ind w:left="900" w:hanging="6"/>
        <w:spacing w:after="0" w:line="259" w:lineRule="auto"/>
        <w:tabs>
          <w:tab w:leader="none" w:pos="133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Government Regulation. </w:t>
      </w:r>
      <w:r>
        <w:rPr>
          <w:rFonts w:ascii="Times New Roman" w:cs="Times New Roman" w:eastAsia="Times New Roman" w:hAnsi="Times New Roman"/>
          <w:sz w:val="18"/>
          <w:szCs w:val="18"/>
          <w:color w:val="auto"/>
        </w:rPr>
        <w:t>(1) Be or become subject at any time to any Legal Requirement or list of any government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the U.S. Office of Foreign Asset Control list) that prohibits or limits the Bank from making any advance or extension of credit to it or from otherwise conducting business with it, or (2) fail to provide documentary and other evidence of its identity as may be requested by the Bank at any time to enable the Bank to verify its identity or to comply with any applicable Legal Requirement, including, without limitation, Section 326 of the USA Patriot Act of 2001, 31 U.S.C. Section 5318.</w:t>
      </w:r>
    </w:p>
    <w:p>
      <w:pPr>
        <w:spacing w:after="0" w:line="179" w:lineRule="exact"/>
        <w:rPr>
          <w:rFonts w:ascii="Times New Roman" w:cs="Times New Roman" w:eastAsia="Times New Roman" w:hAnsi="Times New Roman"/>
          <w:sz w:val="18"/>
          <w:szCs w:val="18"/>
          <w:b w:val="1"/>
          <w:bCs w:val="1"/>
          <w:color w:val="auto"/>
        </w:rPr>
      </w:pPr>
    </w:p>
    <w:p>
      <w:pPr>
        <w:ind w:left="1240" w:hanging="346"/>
        <w:spacing w:after="0"/>
        <w:tabs>
          <w:tab w:leader="none" w:pos="12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Subsidiaries. </w:t>
      </w:r>
      <w:r>
        <w:rPr>
          <w:rFonts w:ascii="Times New Roman" w:cs="Times New Roman" w:eastAsia="Times New Roman" w:hAnsi="Times New Roman"/>
          <w:sz w:val="18"/>
          <w:szCs w:val="18"/>
          <w:color w:val="auto"/>
        </w:rPr>
        <w:t>Form, create or acquire any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5.2 Financial Covenants. </w:t>
      </w:r>
      <w:r>
        <w:rPr>
          <w:rFonts w:ascii="Times New Roman" w:cs="Times New Roman" w:eastAsia="Times New Roman" w:hAnsi="Times New Roman"/>
          <w:sz w:val="18"/>
          <w:szCs w:val="18"/>
          <w:color w:val="auto"/>
        </w:rPr>
        <w:t>Without the prior written consent of the Bank, the Borrower will not:</w:t>
      </w:r>
    </w:p>
    <w:p>
      <w:pPr>
        <w:spacing w:after="0" w:line="225" w:lineRule="exact"/>
        <w:rPr>
          <w:sz w:val="20"/>
          <w:szCs w:val="20"/>
          <w:color w:val="auto"/>
        </w:rPr>
      </w:pPr>
    </w:p>
    <w:p>
      <w:pPr>
        <w:jc w:val="both"/>
        <w:ind w:left="900" w:hanging="6"/>
        <w:spacing w:after="0" w:line="268" w:lineRule="auto"/>
        <w:tabs>
          <w:tab w:leader="none" w:pos="12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Fixed Charge Coverage Ratio. </w:t>
      </w:r>
      <w:r>
        <w:rPr>
          <w:rFonts w:ascii="Times New Roman" w:cs="Times New Roman" w:eastAsia="Times New Roman" w:hAnsi="Times New Roman"/>
          <w:sz w:val="18"/>
          <w:szCs w:val="18"/>
          <w:color w:val="auto"/>
        </w:rPr>
        <w:t>Permit at any fiscal quarter end the Fixed Charge Coverage Ratio to be less than 1.25 to 1.00.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this subsection, the term "</w:t>
      </w:r>
      <w:r>
        <w:rPr>
          <w:rFonts w:ascii="Times New Roman" w:cs="Times New Roman" w:eastAsia="Times New Roman" w:hAnsi="Times New Roman"/>
          <w:sz w:val="18"/>
          <w:szCs w:val="18"/>
          <w:b w:val="1"/>
          <w:bCs w:val="1"/>
          <w:color w:val="auto"/>
        </w:rPr>
        <w:t>Fixed Charge Coverage Ratio</w:t>
      </w:r>
      <w:r>
        <w:rPr>
          <w:rFonts w:ascii="Times New Roman" w:cs="Times New Roman" w:eastAsia="Times New Roman" w:hAnsi="Times New Roman"/>
          <w:sz w:val="18"/>
          <w:szCs w:val="18"/>
          <w:color w:val="auto"/>
        </w:rPr>
        <w:t>" means the ratio, computed for the Borrower and its Subsidiaries on a consolidated basis, of</w:t>
      </w:r>
    </w:p>
    <w:p>
      <w:pPr>
        <w:spacing w:after="0" w:line="174" w:lineRule="exact"/>
        <w:rPr>
          <w:rFonts w:ascii="Times New Roman" w:cs="Times New Roman" w:eastAsia="Times New Roman" w:hAnsi="Times New Roman"/>
          <w:sz w:val="18"/>
          <w:szCs w:val="18"/>
          <w:b w:val="1"/>
          <w:bCs w:val="1"/>
          <w:color w:val="auto"/>
        </w:rPr>
      </w:pPr>
    </w:p>
    <w:p>
      <w:pPr>
        <w:jc w:val="both"/>
        <w:ind w:left="1540" w:firstLine="2"/>
        <w:spacing w:after="0" w:line="266" w:lineRule="auto"/>
        <w:tabs>
          <w:tab w:leader="none" w:pos="198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plus income tax expense, plus amortization expense, plus depreciation expense, plus interest expense, and plus dividends received from joint ventures, minus Unfinanced Capital Expenditures, and minus equity in income from joint ventures, all computed for the twelve month period then ending, to</w:t>
      </w:r>
    </w:p>
    <w:p>
      <w:pPr>
        <w:spacing w:after="0" w:line="175" w:lineRule="exact"/>
        <w:rPr>
          <w:rFonts w:ascii="Times New Roman" w:cs="Times New Roman" w:eastAsia="Times New Roman" w:hAnsi="Times New Roman"/>
          <w:sz w:val="18"/>
          <w:szCs w:val="18"/>
          <w:color w:val="auto"/>
        </w:rPr>
      </w:pPr>
    </w:p>
    <w:p>
      <w:pPr>
        <w:ind w:left="1540" w:right="20" w:firstLine="2"/>
        <w:spacing w:after="0" w:line="282" w:lineRule="auto"/>
        <w:tabs>
          <w:tab w:leader="none" w:pos="193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principal payments made, plus scheduled finance lease payments made, plus interest expense paid, plus income tax expense paid, and plus cash Distributions paid, all computed for the same twelve month period then ending.</w:t>
      </w:r>
    </w:p>
    <w:p>
      <w:pPr>
        <w:spacing w:after="0" w:line="158" w:lineRule="exact"/>
        <w:rPr>
          <w:sz w:val="20"/>
          <w:szCs w:val="20"/>
          <w:color w:val="auto"/>
        </w:rPr>
      </w:pPr>
    </w:p>
    <w:p>
      <w:pPr>
        <w:jc w:val="both"/>
        <w:ind w:left="340" w:hanging="32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5.3 Financial Statement Calculations. </w:t>
      </w:r>
      <w:r>
        <w:rPr>
          <w:rFonts w:ascii="Times New Roman" w:cs="Times New Roman" w:eastAsia="Times New Roman" w:hAnsi="Times New Roman"/>
          <w:sz w:val="18"/>
          <w:szCs w:val="18"/>
          <w:color w:val="auto"/>
        </w:rPr>
        <w:t>The financial covenant(s) set forth in Section 5.2 entitled "Financial Covenants", except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expressly provided with respect to any particular financial covenant, shall be calculated on the basis of the Borrower’s financial statements prepared on a consolidated basis with its Subsidiaries in accordance with GAAP, provided that, if after the date hereof there occurs any change in GAAP or in the application thereof on the operation of any provision hereof and the Bank notifies the Borrower that the Bank requests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provision is amended in accordance herewith. Notwithstanding the foregoing, for purposes of determining compliance with any financial covenant contained herein, the effects of FASB Accounting Standards Update 2016- 02 (Topic 842) shall be disregarded.</w:t>
      </w:r>
    </w:p>
    <w:p>
      <w:pPr>
        <w:spacing w:after="0" w:line="18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88265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576" w:right="339" w:bottom="1440" w:gutter="0" w:footer="0" w:header="0"/>
        </w:sectPr>
      </w:pPr>
    </w:p>
    <w:bookmarkStart w:id="49" w:name="page50"/>
    <w:bookmarkEnd w:id="49"/>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225" w:lineRule="exact"/>
        <w:rPr>
          <w:sz w:val="20"/>
          <w:szCs w:val="20"/>
          <w:color w:val="auto"/>
        </w:rPr>
      </w:pPr>
    </w:p>
    <w:p>
      <w:pPr>
        <w:jc w:val="both"/>
        <w:ind w:left="840" w:hanging="32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 Representations and Warranties by the Borrower. </w:t>
      </w:r>
      <w:r>
        <w:rPr>
          <w:rFonts w:ascii="Times New Roman" w:cs="Times New Roman" w:eastAsia="Times New Roman" w:hAnsi="Times New Roman"/>
          <w:sz w:val="18"/>
          <w:szCs w:val="18"/>
          <w:color w:val="auto"/>
        </w:rPr>
        <w:t>To induce the Bank to enter into this agreement, the Borrower represents and warrants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of this agreement and as of the date of each request for credit under the Credit Facilities that each of the following statements is true and correct and shall remain so until all Credit Facilities and all Liabilities under the Notes and other Related Documents are paid in full:</w:t>
      </w:r>
    </w:p>
    <w:p>
      <w:pPr>
        <w:spacing w:after="0" w:line="175" w:lineRule="exact"/>
        <w:rPr>
          <w:sz w:val="20"/>
          <w:szCs w:val="20"/>
          <w:color w:val="auto"/>
        </w:rPr>
      </w:pPr>
    </w:p>
    <w:p>
      <w:pPr>
        <w:ind w:left="2040" w:firstLine="2"/>
        <w:spacing w:after="0" w:line="282" w:lineRule="auto"/>
        <w:tabs>
          <w:tab w:leader="none" w:pos="2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name as it appears in this agreement is its exact name as it appears in its most recently filed public organic record and other Organizational Documents,</w:t>
      </w:r>
    </w:p>
    <w:p>
      <w:pPr>
        <w:spacing w:after="0" w:line="161" w:lineRule="exact"/>
        <w:rPr>
          <w:rFonts w:ascii="Times New Roman" w:cs="Times New Roman" w:eastAsia="Times New Roman" w:hAnsi="Times New Roman"/>
          <w:sz w:val="18"/>
          <w:szCs w:val="18"/>
          <w:color w:val="auto"/>
        </w:rPr>
      </w:pPr>
    </w:p>
    <w:p>
      <w:pPr>
        <w:jc w:val="both"/>
        <w:ind w:left="2040" w:right="20" w:firstLine="2"/>
        <w:spacing w:after="0" w:line="266" w:lineRule="auto"/>
        <w:tabs>
          <w:tab w:leader="none" w:pos="24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other Related Documents to which it is a party, and the performance of the obligations they impose, do not violate any Legal Requirement, conflict with any agreement by which it is bound, or require the consent or approval of any other Person,</w:t>
      </w:r>
    </w:p>
    <w:p>
      <w:pPr>
        <w:spacing w:after="0" w:line="175" w:lineRule="exact"/>
        <w:rPr>
          <w:rFonts w:ascii="Times New Roman" w:cs="Times New Roman" w:eastAsia="Times New Roman" w:hAnsi="Times New Roman"/>
          <w:sz w:val="18"/>
          <w:szCs w:val="18"/>
          <w:color w:val="auto"/>
        </w:rPr>
      </w:pPr>
    </w:p>
    <w:p>
      <w:pPr>
        <w:jc w:val="both"/>
        <w:ind w:left="2040" w:firstLine="2"/>
        <w:spacing w:after="0" w:line="266" w:lineRule="auto"/>
        <w:tabs>
          <w:tab w:leader="none" w:pos="2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Related Documents have been duly authorized, executed and delivered by all parties thereto (other than the Bank) and are valid, enforceable and binding agreements, except as may be limited by bankruptcy, insolvency or other laws affecting the enforcement of creditors' rights generally and by general principles of equity,</w:t>
      </w:r>
    </w:p>
    <w:p>
      <w:pPr>
        <w:spacing w:after="0" w:line="175" w:lineRule="exact"/>
        <w:rPr>
          <w:rFonts w:ascii="Times New Roman" w:cs="Times New Roman" w:eastAsia="Times New Roman" w:hAnsi="Times New Roman"/>
          <w:sz w:val="18"/>
          <w:szCs w:val="18"/>
          <w:color w:val="auto"/>
        </w:rPr>
      </w:pPr>
    </w:p>
    <w:p>
      <w:pPr>
        <w:jc w:val="both"/>
        <w:ind w:left="2040" w:firstLine="2"/>
        <w:spacing w:after="0" w:line="266" w:lineRule="auto"/>
        <w:tabs>
          <w:tab w:leader="none" w:pos="246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balance sheets, profit and loss statements, and other financial statements and other information furnished to the Bank are accurate and fairly reflect the financial condition of the Persons to which they apply on their effective dates, which financial condition has not changed materially and adversely since those dates,</w:t>
      </w:r>
    </w:p>
    <w:p>
      <w:pPr>
        <w:spacing w:after="0" w:line="175" w:lineRule="exact"/>
        <w:rPr>
          <w:rFonts w:ascii="Times New Roman" w:cs="Times New Roman" w:eastAsia="Times New Roman" w:hAnsi="Times New Roman"/>
          <w:sz w:val="18"/>
          <w:szCs w:val="18"/>
          <w:color w:val="auto"/>
        </w:rPr>
      </w:pPr>
    </w:p>
    <w:p>
      <w:pPr>
        <w:jc w:val="both"/>
        <w:ind w:left="2040" w:firstLine="2"/>
        <w:spacing w:after="0" w:line="261" w:lineRule="auto"/>
        <w:tabs>
          <w:tab w:leader="none" w:pos="24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claim, investigation, administrative proceeding or similar action is pending or threatened against it, and no other event has occurred which may materially affect it or any of its Subsidiaries' financial condition, properties, business, affairs or operations, other than litigation, claims, or other events, if any, that have been disclosed to and acknowledged by the Bank in writing,</w:t>
      </w:r>
    </w:p>
    <w:p>
      <w:pPr>
        <w:spacing w:after="0" w:line="179" w:lineRule="exact"/>
        <w:rPr>
          <w:rFonts w:ascii="Times New Roman" w:cs="Times New Roman" w:eastAsia="Times New Roman" w:hAnsi="Times New Roman"/>
          <w:sz w:val="18"/>
          <w:szCs w:val="18"/>
          <w:color w:val="auto"/>
        </w:rPr>
      </w:pPr>
    </w:p>
    <w:p>
      <w:pPr>
        <w:jc w:val="both"/>
        <w:ind w:left="2040" w:firstLine="2"/>
        <w:spacing w:after="0" w:line="266" w:lineRule="auto"/>
        <w:tabs>
          <w:tab w:leader="none" w:pos="2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its tax returns and reports that are or were required to be filed, have been filed (or extensions with respect to such returns and reports were timely filed), and all taxes, assessments and other governmental charges have been paid in full, except those presently being contested by it in good faith and for which adequate reserves have been provided,</w:t>
      </w:r>
    </w:p>
    <w:p>
      <w:pPr>
        <w:spacing w:after="0" w:line="175" w:lineRule="exact"/>
        <w:rPr>
          <w:rFonts w:ascii="Times New Roman" w:cs="Times New Roman" w:eastAsia="Times New Roman" w:hAnsi="Times New Roman"/>
          <w:sz w:val="18"/>
          <w:szCs w:val="18"/>
          <w:color w:val="auto"/>
        </w:rPr>
      </w:pPr>
    </w:p>
    <w:p>
      <w:pPr>
        <w:ind w:left="2040" w:firstLine="2"/>
        <w:spacing w:after="0" w:line="282" w:lineRule="auto"/>
        <w:tabs>
          <w:tab w:leader="none" w:pos="2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"investment company" or a company "controlled" by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left="2040" w:right="20" w:firstLine="2"/>
        <w:spacing w:after="0" w:line="282" w:lineRule="auto"/>
        <w:tabs>
          <w:tab w:leader="none" w:pos="24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defenses or counterclaims, offsets or adverse claims, demands or actions of any kind, personal or otherwise, that it could assert with respect to this agreement or the Credit Facilities,</w:t>
      </w:r>
    </w:p>
    <w:p>
      <w:pPr>
        <w:spacing w:after="0" w:line="161" w:lineRule="exact"/>
        <w:rPr>
          <w:rFonts w:ascii="Times New Roman" w:cs="Times New Roman" w:eastAsia="Times New Roman" w:hAnsi="Times New Roman"/>
          <w:sz w:val="18"/>
          <w:szCs w:val="18"/>
          <w:color w:val="auto"/>
        </w:rPr>
      </w:pPr>
    </w:p>
    <w:p>
      <w:pPr>
        <w:ind w:left="2040" w:right="20" w:firstLine="2"/>
        <w:spacing w:after="0" w:line="282" w:lineRule="auto"/>
        <w:tabs>
          <w:tab w:leader="none" w:pos="24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owns, or is licensed to use, all material trademarks, trade names, copyrights, technology, know-how and processes necessary for the continued current conduct of its business, and</w:t>
      </w:r>
    </w:p>
    <w:p>
      <w:pPr>
        <w:spacing w:after="0" w:line="161" w:lineRule="exact"/>
        <w:rPr>
          <w:rFonts w:ascii="Times New Roman" w:cs="Times New Roman" w:eastAsia="Times New Roman" w:hAnsi="Times New Roman"/>
          <w:sz w:val="18"/>
          <w:szCs w:val="18"/>
          <w:color w:val="auto"/>
        </w:rPr>
      </w:pPr>
    </w:p>
    <w:p>
      <w:pPr>
        <w:ind w:left="2040" w:firstLine="2"/>
        <w:spacing w:after="0" w:line="282" w:lineRule="auto"/>
        <w:tabs>
          <w:tab w:leader="none" w:pos="2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default, event of default or event that would constitute a default or event of default (pending giving of notice or a lapse of time or both), of any provision of this agreement, the Notes or any other Related Documents.</w:t>
      </w:r>
    </w:p>
    <w:p>
      <w:pPr>
        <w:spacing w:after="0" w:line="158" w:lineRule="exact"/>
        <w:rPr>
          <w:sz w:val="20"/>
          <w:szCs w:val="20"/>
          <w:color w:val="auto"/>
        </w:rPr>
      </w:pPr>
    </w:p>
    <w:p>
      <w:pPr>
        <w:jc w:val="both"/>
        <w:ind w:left="860" w:hanging="36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6.2 Representations and Warranties Regarding Anti-Corruption Laws and Sanctions. </w:t>
      </w:r>
      <w:r>
        <w:rPr>
          <w:rFonts w:ascii="Times New Roman" w:cs="Times New Roman" w:eastAsia="Times New Roman" w:hAnsi="Times New Roman"/>
          <w:sz w:val="18"/>
          <w:szCs w:val="18"/>
          <w:color w:val="auto"/>
        </w:rPr>
        <w:t>The Borrower represents and warrants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as of the date of each request for credit under the Credit Facilities that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directors and officers and to the knowledge of the Borrower its employees and agents, are in compliance with Anti-Corruption Laws and applicable Sanctions in all material respects. None of (a) the Borrower, any Subsidiary, any of their respective directors, officers or to the knowledge of the Borrower employees, or (b) to the knowledge of the Borrower, any agent of the Borrower or any Subsidiary that will act in any capacity in connection with or benefit from the credit facility established hereby, is a Sanctioned Person. No advance, letter of credit, use of proceeds or other transaction contemplated by the Credit Facilities will violate Anti-Corruption Laws or applicable Sanctions.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Default/Remedies.</w:t>
      </w:r>
    </w:p>
    <w:p>
      <w:pPr>
        <w:spacing w:after="0" w:line="225" w:lineRule="exact"/>
        <w:rPr>
          <w:sz w:val="20"/>
          <w:szCs w:val="20"/>
          <w:color w:val="auto"/>
        </w:rPr>
      </w:pPr>
    </w:p>
    <w:p>
      <w:pPr>
        <w:ind w:left="820" w:hanging="33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Events of Default/Acceleration. </w:t>
      </w:r>
      <w:r>
        <w:rPr>
          <w:rFonts w:ascii="Times New Roman" w:cs="Times New Roman" w:eastAsia="Times New Roman" w:hAnsi="Times New Roman"/>
          <w:sz w:val="18"/>
          <w:szCs w:val="18"/>
          <w:color w:val="auto"/>
        </w:rPr>
        <w:t>If any of the following events occurs, the Notes shall become due immediately, without notice, at the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w:t>
      </w:r>
    </w:p>
    <w:p>
      <w:pPr>
        <w:spacing w:after="0" w:line="159" w:lineRule="exact"/>
        <w:rPr>
          <w:sz w:val="20"/>
          <w:szCs w:val="20"/>
          <w:color w:val="auto"/>
        </w:rPr>
      </w:pPr>
    </w:p>
    <w:p>
      <w:pPr>
        <w:ind w:left="1400" w:hanging="6"/>
        <w:spacing w:after="0" w:line="282" w:lineRule="auto"/>
        <w:tabs>
          <w:tab w:leader="none" w:pos="175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fails to pay when due any of the Liabilities, or any amount payable with respect to any of the Liabilities, or under any Note, any other Related Document.</w:t>
      </w:r>
    </w:p>
    <w:p>
      <w:pPr>
        <w:spacing w:after="0" w:line="161" w:lineRule="exact"/>
        <w:rPr>
          <w:rFonts w:ascii="Times New Roman" w:cs="Times New Roman" w:eastAsia="Times New Roman" w:hAnsi="Times New Roman"/>
          <w:sz w:val="18"/>
          <w:szCs w:val="18"/>
          <w:b w:val="1"/>
          <w:bCs w:val="1"/>
          <w:color w:val="auto"/>
        </w:rPr>
      </w:pPr>
    </w:p>
    <w:p>
      <w:pPr>
        <w:jc w:val="both"/>
        <w:ind w:left="1400" w:hanging="6"/>
        <w:spacing w:after="0" w:line="261" w:lineRule="auto"/>
        <w:tabs>
          <w:tab w:leader="none" w:pos="179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or any of its Subsidiaries: (i) fails to observe or perform any term, covenant, condition or agreement of any of the Related Documents or any other agreement, now or hereafter in effect, with the Bank, or any Affiliate of the Bank or their respective successors and assigns and such failure continues for a period of thirty (30) days after notice thereof by the Bank; or (ii) makes any materially incorrect or misleading representation to the Bank.</w:t>
      </w:r>
    </w:p>
    <w:p>
      <w:pPr>
        <w:spacing w:after="0" w:line="179" w:lineRule="exact"/>
        <w:rPr>
          <w:rFonts w:ascii="Times New Roman" w:cs="Times New Roman" w:eastAsia="Times New Roman" w:hAnsi="Times New Roman"/>
          <w:sz w:val="18"/>
          <w:szCs w:val="18"/>
          <w:b w:val="1"/>
          <w:bCs w:val="1"/>
          <w:color w:val="auto"/>
        </w:rPr>
      </w:pPr>
    </w:p>
    <w:p>
      <w:pPr>
        <w:ind w:left="1400" w:hanging="6"/>
        <w:spacing w:after="0" w:line="282" w:lineRule="auto"/>
        <w:tabs>
          <w:tab w:leader="none" w:pos="19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(i) terminates or revokes or purports to terminate or revoke its guaranty or any Obligor's guaranty becomes unenforceable in whole or in part; or (ii) fails to perform promptly under its guaranty.</w:t>
      </w:r>
    </w:p>
    <w:p>
      <w:pPr>
        <w:spacing w:after="0" w:line="161" w:lineRule="exact"/>
        <w:rPr>
          <w:rFonts w:ascii="Times New Roman" w:cs="Times New Roman" w:eastAsia="Times New Roman" w:hAnsi="Times New Roman"/>
          <w:sz w:val="18"/>
          <w:szCs w:val="18"/>
          <w:b w:val="1"/>
          <w:bCs w:val="1"/>
          <w:color w:val="auto"/>
        </w:rPr>
      </w:pPr>
    </w:p>
    <w:p>
      <w:pPr>
        <w:jc w:val="both"/>
        <w:ind w:left="1400" w:hanging="6"/>
        <w:spacing w:after="0" w:line="261" w:lineRule="auto"/>
        <w:tabs>
          <w:tab w:leader="none" w:pos="1749"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or any of its Subsidiaries (i) defaults under the terms of any agreement or instrument relating to any debt for borrowed money (other than the debt evidenced by the Related Documents) and the effect of such default will allow the creditor to declare the debt due before its stated maturity; or (ii) fails to pay when due any other debt to any Person (including the Bank), or under any agreement or instrument evidencing other debt to any Person.</w:t>
      </w:r>
    </w:p>
    <w:p>
      <w:pPr>
        <w:spacing w:after="0" w:line="179" w:lineRule="exact"/>
        <w:rPr>
          <w:rFonts w:ascii="Times New Roman" w:cs="Times New Roman" w:eastAsia="Times New Roman" w:hAnsi="Times New Roman"/>
          <w:sz w:val="18"/>
          <w:szCs w:val="18"/>
          <w:b w:val="1"/>
          <w:bCs w:val="1"/>
          <w:color w:val="auto"/>
        </w:rPr>
      </w:pPr>
    </w:p>
    <w:p>
      <w:pPr>
        <w:ind w:left="1740" w:hanging="346"/>
        <w:spacing w:after="0"/>
        <w:tabs>
          <w:tab w:leader="none" w:pos="17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any loss, theft, damage, or destruction of any Collateral not covered by insurance.</w:t>
      </w:r>
    </w:p>
    <w:p>
      <w:pPr>
        <w:spacing w:after="0" w:line="225" w:lineRule="exact"/>
        <w:rPr>
          <w:rFonts w:ascii="Times New Roman" w:cs="Times New Roman" w:eastAsia="Times New Roman" w:hAnsi="Times New Roman"/>
          <w:sz w:val="18"/>
          <w:szCs w:val="18"/>
          <w:b w:val="1"/>
          <w:bCs w:val="1"/>
          <w:color w:val="auto"/>
        </w:rPr>
      </w:pPr>
    </w:p>
    <w:p>
      <w:pPr>
        <w:ind w:left="1400" w:hanging="6"/>
        <w:spacing w:after="0" w:line="282" w:lineRule="auto"/>
        <w:tabs>
          <w:tab w:leader="none" w:pos="180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event occurs that would permit the Pension Benefit Guaranty Corporation to terminate any employee benefit plan of any Obligor or any Subsidiary of any Obligor.</w:t>
      </w:r>
    </w:p>
    <w:p>
      <w:pPr>
        <w:spacing w:after="0" w:line="161" w:lineRule="exact"/>
        <w:rPr>
          <w:rFonts w:ascii="Times New Roman" w:cs="Times New Roman" w:eastAsia="Times New Roman" w:hAnsi="Times New Roman"/>
          <w:sz w:val="18"/>
          <w:szCs w:val="18"/>
          <w:b w:val="1"/>
          <w:bCs w:val="1"/>
          <w:color w:val="auto"/>
        </w:rPr>
      </w:pPr>
    </w:p>
    <w:p>
      <w:pPr>
        <w:jc w:val="both"/>
        <w:ind w:left="1400" w:hanging="6"/>
        <w:spacing w:after="0" w:line="256" w:lineRule="auto"/>
        <w:tabs>
          <w:tab w:leader="none" w:pos="187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or any of its Subsidiaries: (i) becomes insolvent or unable to pay its debts as they become due; (ii) makes an assignment for the benefit of creditors; (iii) consents to or commences any proceeding under any bankruptcy, reorganization, liquidation, insolvency or similar laws; (iv) conceals or removes any of its Property, with intent to hinder, delay or defraud any of its creditors; (v) makes or permits a transfer of any of its Property, which may be fraudulent under any bankruptcy, fraudulent conveyance or similar law; or (vi) makes a transfer of any of its Property to or for the benefit of a creditor at a time when other creditors similarly situated have not been paid.</w:t>
      </w:r>
    </w:p>
    <w:p>
      <w:pPr>
        <w:spacing w:after="0" w:line="187" w:lineRule="exact"/>
        <w:rPr>
          <w:rFonts w:ascii="Times New Roman" w:cs="Times New Roman" w:eastAsia="Times New Roman" w:hAnsi="Times New Roman"/>
          <w:sz w:val="18"/>
          <w:szCs w:val="18"/>
          <w:b w:val="1"/>
          <w:bCs w:val="1"/>
          <w:color w:val="auto"/>
        </w:rPr>
      </w:pPr>
    </w:p>
    <w:p>
      <w:pPr>
        <w:ind w:left="1400" w:hanging="6"/>
        <w:spacing w:after="0" w:line="282" w:lineRule="auto"/>
        <w:tabs>
          <w:tab w:leader="none" w:pos="178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custodian, receiver, or trustee is appointed for any Obligor or any of its Subsidiaries or for a substantial part of their respective Property.</w:t>
      </w:r>
    </w:p>
    <w:p>
      <w:pPr>
        <w:spacing w:after="0" w:line="161" w:lineRule="exact"/>
        <w:rPr>
          <w:rFonts w:ascii="Times New Roman" w:cs="Times New Roman" w:eastAsia="Times New Roman" w:hAnsi="Times New Roman"/>
          <w:sz w:val="18"/>
          <w:szCs w:val="18"/>
          <w:b w:val="1"/>
          <w:bCs w:val="1"/>
          <w:color w:val="auto"/>
        </w:rPr>
      </w:pPr>
    </w:p>
    <w:p>
      <w:pPr>
        <w:jc w:val="both"/>
        <w:ind w:left="1400" w:hanging="6"/>
        <w:spacing w:after="0" w:line="255" w:lineRule="auto"/>
        <w:tabs>
          <w:tab w:leader="none" w:pos="174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Obligor or any of its Subsidiaries, without the Bank's prior written consent: (i) liquidates, divides or allocates any assets under a plan of division or similar arrangement, creates any series limited liability company, allocates any property to any series, or is dissolved; (ii) merges or consolidates with any other Person; (iii) leases, sells or otherwise conveys a material part of its assets or business outside the ordinary course of its business; (iv) leases, purchases, or otherwise acquires a material part of the assets of any other Person, except in the ordinary course of its business; or (v) agrees to do any of the foregoing; provided, however, that any Subsidiary of an Obligor may merge or consolidate with any other Subsidiary of that Obligor, or with the Obligor, so long as the Obligor is the survivor.</w:t>
      </w:r>
    </w:p>
    <w:p>
      <w:pPr>
        <w:spacing w:after="0" w:line="188" w:lineRule="exact"/>
        <w:rPr>
          <w:rFonts w:ascii="Times New Roman" w:cs="Times New Roman" w:eastAsia="Times New Roman" w:hAnsi="Times New Roman"/>
          <w:sz w:val="18"/>
          <w:szCs w:val="18"/>
          <w:b w:val="1"/>
          <w:bCs w:val="1"/>
          <w:color w:val="auto"/>
        </w:rPr>
      </w:pPr>
    </w:p>
    <w:p>
      <w:pPr>
        <w:jc w:val="both"/>
        <w:ind w:left="1400" w:hanging="6"/>
        <w:spacing w:after="0" w:line="266" w:lineRule="auto"/>
        <w:tabs>
          <w:tab w:leader="none" w:pos="1779"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Proceedings are commenced under any bankruptcy, reorganization, liquidation, or similar laws against any Obligor or any of its Subsidiaries and remain undismissed for sixty (60) days after commencement; or any Obligor or any of its Subsidiaries consents to the commencement of those proceedings.</w:t>
      </w:r>
    </w:p>
    <w:p>
      <w:pPr>
        <w:spacing w:after="0" w:line="175" w:lineRule="exact"/>
        <w:rPr>
          <w:rFonts w:ascii="Times New Roman" w:cs="Times New Roman" w:eastAsia="Times New Roman" w:hAnsi="Times New Roman"/>
          <w:sz w:val="18"/>
          <w:szCs w:val="18"/>
          <w:b w:val="1"/>
          <w:bCs w:val="1"/>
          <w:color w:val="auto"/>
        </w:rPr>
      </w:pPr>
    </w:p>
    <w:p>
      <w:pPr>
        <w:jc w:val="both"/>
        <w:ind w:left="1400" w:hanging="6"/>
        <w:spacing w:after="0" w:line="261" w:lineRule="auto"/>
        <w:tabs>
          <w:tab w:leader="none" w:pos="177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judgment in excess of $100,000.00 not covered by insurance is entered against any Obligor or any of its Subsidiaries that remains undischarged for a period of thirty (30) consecutive days during which execution shall not be effectively stayed, or any attachment, seizure, sequestration, levy, or garnishment is issued against any Property of any Obligor or any of its Subsidiaries or any Collateral.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ind w:left="1400" w:hanging="6"/>
        <w:spacing w:after="0" w:line="282" w:lineRule="auto"/>
        <w:tabs>
          <w:tab w:leader="none" w:pos="185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individual Obligor dies, or a guardian or conservator is appointed for any individual Obligor or all or any portion of their respective Property, or the Collateral.</w:t>
      </w:r>
    </w:p>
    <w:p>
      <w:pPr>
        <w:spacing w:after="0" w:line="161" w:lineRule="exact"/>
        <w:rPr>
          <w:rFonts w:ascii="Times New Roman" w:cs="Times New Roman" w:eastAsia="Times New Roman" w:hAnsi="Times New Roman"/>
          <w:sz w:val="18"/>
          <w:szCs w:val="18"/>
          <w:b w:val="1"/>
          <w:bCs w:val="1"/>
          <w:color w:val="auto"/>
        </w:rPr>
      </w:pPr>
    </w:p>
    <w:p>
      <w:pPr>
        <w:jc w:val="both"/>
        <w:ind w:left="1400" w:right="20" w:hanging="6"/>
        <w:spacing w:after="0" w:line="266" w:lineRule="auto"/>
        <w:tabs>
          <w:tab w:leader="none" w:pos="175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material adverse change occurs in: (i) the Property, financial condition, business, assets, prospects, liabilities, or operations of any Obligor or any of its Subsidiaries; (ii) any Obligor's ability to perform its obligations under the Related Documents; or (iii) the Collateral.</w:t>
      </w:r>
    </w:p>
    <w:p>
      <w:pPr>
        <w:spacing w:after="0" w:line="172" w:lineRule="exact"/>
        <w:rPr>
          <w:sz w:val="20"/>
          <w:szCs w:val="20"/>
          <w:color w:val="auto"/>
        </w:rPr>
      </w:pPr>
    </w:p>
    <w:p>
      <w:pPr>
        <w:jc w:val="both"/>
        <w:ind w:left="840" w:hanging="363"/>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7.2 Remedies. </w:t>
      </w:r>
      <w:r>
        <w:rPr>
          <w:rFonts w:ascii="Times New Roman" w:cs="Times New Roman" w:eastAsia="Times New Roman" w:hAnsi="Times New Roman"/>
          <w:sz w:val="18"/>
          <w:szCs w:val="18"/>
          <w:color w:val="auto"/>
        </w:rPr>
        <w:t>At any time after the occurrence of a default, the Bank may do one or more of the following: (a) cease permitting the Borrower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 any Liabilities; (b) terminate any commitment of the Bank evidenced by any of the Notes; (c) declare any of the Notes to be immediately due and payable, without notice of acceleration, presentment and demand or protest or notice of any kind, all of which are hereby expressly waived; (d) exercise all rights of setoff; and (e) exercise any and all other rights pursuant to any of the Related Documents.</w:t>
      </w:r>
    </w:p>
    <w:p>
      <w:pPr>
        <w:spacing w:after="0" w:line="176" w:lineRule="exact"/>
        <w:rPr>
          <w:sz w:val="20"/>
          <w:szCs w:val="20"/>
          <w:color w:val="auto"/>
        </w:rPr>
      </w:pPr>
    </w:p>
    <w:p>
      <w:pPr>
        <w:jc w:val="both"/>
        <w:ind w:left="1400" w:hanging="6"/>
        <w:spacing w:after="0" w:line="262" w:lineRule="auto"/>
        <w:tabs>
          <w:tab w:leader="none" w:pos="1766"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Generally. </w:t>
      </w:r>
      <w:r>
        <w:rPr>
          <w:rFonts w:ascii="Times New Roman" w:cs="Times New Roman" w:eastAsia="Times New Roman" w:hAnsi="Times New Roman"/>
          <w:sz w:val="18"/>
          <w:szCs w:val="18"/>
          <w:color w:val="auto"/>
        </w:rPr>
        <w:t>The rights of the Bank under this agreement and the other Related Documents are in addition to other rights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other rights of setoff) the Bank may have contractually, by law, in equity or otherwise, all of which are cumulative and hereby retained by the Bank. Each Obligor agrees to stand still with regard to the Bank's enforcement of its rights, including taking no action to delay, impede or otherwise interfere with the Bank's rights to realize on any Collateral.</w:t>
      </w:r>
    </w:p>
    <w:p>
      <w:pPr>
        <w:spacing w:after="0" w:line="176" w:lineRule="exact"/>
        <w:rPr>
          <w:rFonts w:ascii="Times New Roman" w:cs="Times New Roman" w:eastAsia="Times New Roman" w:hAnsi="Times New Roman"/>
          <w:sz w:val="18"/>
          <w:szCs w:val="18"/>
          <w:b w:val="1"/>
          <w:bCs w:val="1"/>
          <w:color w:val="auto"/>
        </w:rPr>
      </w:pPr>
    </w:p>
    <w:p>
      <w:pPr>
        <w:jc w:val="both"/>
        <w:ind w:left="1400" w:hanging="6"/>
        <w:spacing w:after="0" w:line="257" w:lineRule="auto"/>
        <w:tabs>
          <w:tab w:leader="none" w:pos="1745"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Right of Setoff. </w:t>
      </w:r>
      <w:r>
        <w:rPr>
          <w:rFonts w:ascii="Times New Roman" w:cs="Times New Roman" w:eastAsia="Times New Roman" w:hAnsi="Times New Roman"/>
          <w:sz w:val="18"/>
          <w:szCs w:val="18"/>
          <w:color w:val="auto"/>
        </w:rPr>
        <w:t>If default shall have occurred, the Bank and each of its Affiliates is hereby authorized at any time and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to the fullest extent permitted by law, to set off and apply any and all deposits (general or special time or demand, provisional or final) at any time held and other obligations at any time owing by the Bank or any Affiliate to or for the credit or the account of any Borrower against any of and all the Liabilities, irrespective of whether or not the Bank shall have made any demand under the Related Documents and although such obligations may be unmatured. The rights of the Bank under this Section are in addition to other rights and remedies (including other rights of setoff) which the Bank may have.</w:t>
      </w:r>
    </w:p>
    <w:p>
      <w:pPr>
        <w:spacing w:after="0" w:line="18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left="840" w:hanging="363"/>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8.1 Notice. </w:t>
      </w:r>
      <w:r>
        <w:rPr>
          <w:rFonts w:ascii="Times New Roman" w:cs="Times New Roman" w:eastAsia="Times New Roman" w:hAnsi="Times New Roman"/>
          <w:sz w:val="18"/>
          <w:szCs w:val="18"/>
          <w:color w:val="auto"/>
        </w:rPr>
        <w:t>Any notices and demands under or related to this agreement shall be in writing and delivered to the Borrower at its address stated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if to the Bank, Manager Wholesale Lending Services, JPMorgan Chase Bank, N.A., 10 S. Dearborn, IL1-1145 (Floor L2), Chicago, IL 60603-2300 with a copy addressed to Kyle Siebold, JPMorgan Chase Bank, N.A., 650 3rd. Ave. S. Ste 450 Flr 4, Minneapolis, WI 55402, by one of the following means: (a) by hand; (b) by overnight courier service; or (c) by certified or registered mail. Notice shall be deemed given upon receipt. Any party may change its address for purposes of the receipt of notices and demands by giving notice of the change in the manner provided in this provision.</w:t>
      </w:r>
    </w:p>
    <w:p>
      <w:pPr>
        <w:spacing w:after="0" w:line="182" w:lineRule="exact"/>
        <w:rPr>
          <w:sz w:val="20"/>
          <w:szCs w:val="20"/>
          <w:color w:val="auto"/>
        </w:rPr>
      </w:pPr>
    </w:p>
    <w:p>
      <w:pPr>
        <w:jc w:val="both"/>
        <w:ind w:left="820" w:hanging="36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8.2 Statements. </w:t>
      </w:r>
      <w:r>
        <w:rPr>
          <w:rFonts w:ascii="Times New Roman" w:cs="Times New Roman" w:eastAsia="Times New Roman" w:hAnsi="Times New Roman"/>
          <w:sz w:val="18"/>
          <w:szCs w:val="18"/>
          <w:color w:val="auto"/>
        </w:rPr>
        <w:t>The Bank may provide the Borrower with account statements or invoices with respect to any of the Liabilities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agreed to herein, the Bank is under no duty or obligation to provide Statements, which, if provided, will be solely for the Borrower’s convenience. Statements may contain estimates of the amounts owed during the relevant billing period, whether of principal, interest, fees or other Liabilities. If the Borrower pays the full amount indicated on a Statement on or before the due date indicated on such Statement, the Borrower shall not be in default of payment with respect to the billing period indicated on such Statement; provided, that acceptance by the Bank of any payment that is less than the total amount actually due at that time (including but not limited to any past due amounts) shall not constitute a waiver of the Bank’s right to receive payment in full at another time.</w:t>
      </w:r>
    </w:p>
    <w:p>
      <w:pPr>
        <w:spacing w:after="0" w:line="183" w:lineRule="exact"/>
        <w:rPr>
          <w:sz w:val="20"/>
          <w:szCs w:val="20"/>
          <w:color w:val="auto"/>
        </w:rPr>
      </w:pPr>
    </w:p>
    <w:p>
      <w:pPr>
        <w:jc w:val="both"/>
        <w:ind w:left="840" w:hanging="36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8.3 No Waiver. </w:t>
      </w:r>
      <w:r>
        <w:rPr>
          <w:rFonts w:ascii="Times New Roman" w:cs="Times New Roman" w:eastAsia="Times New Roman" w:hAnsi="Times New Roman"/>
          <w:sz w:val="18"/>
          <w:szCs w:val="18"/>
          <w:color w:val="auto"/>
        </w:rPr>
        <w:t>No delay on the part of the Bank in the exercise of any right or remedy waives that right or remedy. No single or partial exercise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of any right or remedy precludes any other future exercise of it or the exercise of any other right or remedy. The making of an advance during the existence of any default or subsequent to the occurrence of a default or when all conditions precedent have not been met shall not constitute a waiver of the default or condition precedent. No waiver or indulgence by the Bank of any default is effective unless it is in writing and signed by the Bank, nor shall a waiver on one occasion bar or waive that right on any future occasion.</w:t>
      </w:r>
    </w:p>
    <w:p>
      <w:pPr>
        <w:spacing w:after="0" w:line="179" w:lineRule="exact"/>
        <w:rPr>
          <w:sz w:val="20"/>
          <w:szCs w:val="20"/>
          <w:color w:val="auto"/>
        </w:rPr>
      </w:pPr>
    </w:p>
    <w:p>
      <w:pPr>
        <w:jc w:val="both"/>
        <w:ind w:left="820" w:hanging="36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8.4 Integration; Severability. </w:t>
      </w:r>
      <w:r>
        <w:rPr>
          <w:rFonts w:ascii="Times New Roman" w:cs="Times New Roman" w:eastAsia="Times New Roman" w:hAnsi="Times New Roman"/>
          <w:sz w:val="18"/>
          <w:szCs w:val="18"/>
          <w:color w:val="auto"/>
        </w:rPr>
        <w:t>This agreement, the Notes, and the other Related Documents embody the entire agreement and understanding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Borrower and the Bank and supersede all prior agreements and understandings relating to their subject matter. If any one or more of the obligations of the Borrower under this agreement, the Notes, or the other Related Documents or any provision thereof is held to be invalid, illegal or unenforceable in any jurisdiction, the validity, legality and enforceability of the remaining obligations of the Borrower and the remaining provisions shall not in any way be affected or impaired; and the invalidity, illegality or unenforceability in one jurisdiction shall not affect the validity, legality or enforceability of such obligations or provisions in any other jurisdiction.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both"/>
        <w:ind w:left="360" w:hanging="36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8.5 Governing Law and Venue. </w:t>
      </w:r>
      <w:r>
        <w:rPr>
          <w:rFonts w:ascii="Times New Roman" w:cs="Times New Roman" w:eastAsia="Times New Roman" w:hAnsi="Times New Roman"/>
          <w:sz w:val="18"/>
          <w:szCs w:val="18"/>
          <w:color w:val="auto"/>
        </w:rPr>
        <w:t>This agreement and (unless stated otherwise therein) all Related Documents shall be governed by and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Illinois (without giving effect to its laws of conflicts). The Borrower agrees that any legal action or proceeding with respect to any of its obligations under this agreement may be brought by the Bank in any state or federal court located in the State of Illinois, as the Bank in its sole discretion may elect. By the execution and delivery of this agreement, the Borrower submits to and accepts, for itself and in respect of its property, generally and unconditionally, the non-exclusive jurisdiction of those courts. The Borrower waives any claim that the State of Illinois is not a convenient forum or the proper venue for any such suit, action or proceeding.</w:t>
      </w:r>
    </w:p>
    <w:p>
      <w:pPr>
        <w:spacing w:after="0" w:line="182" w:lineRule="exact"/>
        <w:rPr>
          <w:sz w:val="20"/>
          <w:szCs w:val="20"/>
          <w:color w:val="auto"/>
        </w:rPr>
      </w:pPr>
    </w:p>
    <w:p>
      <w:pPr>
        <w:jc w:val="both"/>
        <w:ind w:left="360" w:hanging="36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8.6 Non-Liability of the Bank. </w:t>
      </w:r>
      <w:r>
        <w:rPr>
          <w:rFonts w:ascii="Times New Roman" w:cs="Times New Roman" w:eastAsia="Times New Roman" w:hAnsi="Times New Roman"/>
          <w:sz w:val="18"/>
          <w:szCs w:val="18"/>
          <w:color w:val="auto"/>
        </w:rPr>
        <w:t>The relationship between the Borrower on one hand and the Bank on the other hand shall be solely that of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lender. The Bank shall have no fiduciary obligations to the Borrower. The Bank is not to be deemed an Affiliate of the Borrower or any of its Subsidiaries.</w:t>
      </w:r>
    </w:p>
    <w:p>
      <w:pPr>
        <w:spacing w:after="0" w:line="171" w:lineRule="exact"/>
        <w:rPr>
          <w:sz w:val="20"/>
          <w:szCs w:val="20"/>
          <w:color w:val="auto"/>
        </w:rPr>
      </w:pPr>
    </w:p>
    <w:p>
      <w:pPr>
        <w:jc w:val="both"/>
        <w:ind w:left="360" w:hanging="36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8.7 Indemnification of the Bank. </w:t>
      </w:r>
      <w:r>
        <w:rPr>
          <w:rFonts w:ascii="Times New Roman" w:cs="Times New Roman" w:eastAsia="Times New Roman" w:hAnsi="Times New Roman"/>
          <w:sz w:val="18"/>
          <w:szCs w:val="18"/>
          <w:color w:val="auto"/>
        </w:rPr>
        <w:t>The Borrower agrees to indemnify, defend and hold the Bank, its parent companies, Subsidiaries, Affiliates,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and assigns and each of their respective shareholders, directors, officers, employees and agents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xml:space="preserve"> ") harmless for, from any and against any and all loss, liability, obligation, damage, penalty, judgment, claim, deficiency, expense, interest, penalties, attorneys' fees (including the fees and expenses of any attorneys engaged by the Indemnified Person) and amounts paid in settlement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to which any Indemnified Person may become subject both before and after judgment, arising out of or relating to the Credit Facilities, the Liabilities under this agreement or any other Related Documents or the Collateral, except to the limited extent that the Claims are proximately caused by the Indemnified Person's willful misconduct. The indemnification provided for in this paragraph shall survive the termination of this agreement and shall not be affected by the presence, absence or amount of or the payment or nonpayment of any claim under, any insurance.</w:t>
      </w:r>
    </w:p>
    <w:p>
      <w:pPr>
        <w:spacing w:after="0" w:line="188" w:lineRule="exact"/>
        <w:rPr>
          <w:sz w:val="20"/>
          <w:szCs w:val="20"/>
          <w:color w:val="auto"/>
        </w:rPr>
      </w:pPr>
    </w:p>
    <w:p>
      <w:pPr>
        <w:jc w:val="both"/>
        <w:ind w:left="360" w:hanging="36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8.8 Counterparts; Effectiveness. </w:t>
      </w:r>
      <w:r>
        <w:rPr>
          <w:rFonts w:ascii="Times New Roman" w:cs="Times New Roman" w:eastAsia="Times New Roman" w:hAnsi="Times New Roman"/>
          <w:sz w:val="18"/>
          <w:szCs w:val="18"/>
          <w:color w:val="auto"/>
        </w:rPr>
        <w:t>This agreement and any Related Document may be executed in multiple counterparts, each of which, when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shall be deemed an original, but all such counterparts, taken together, shall constitute one and the same of such agreement or document. Except as provided in Section 3 entitled "Conditions Precedent to Extensions of Credit", this agreement will become effective when both (1) it has been executed by the Bank and (2) the Bank has received counterparts to this agreement which, when taken together, bear the signatures of each of the other parties hereto.</w:t>
      </w:r>
    </w:p>
    <w:p>
      <w:pPr>
        <w:spacing w:after="0" w:line="179" w:lineRule="exact"/>
        <w:rPr>
          <w:sz w:val="20"/>
          <w:szCs w:val="20"/>
          <w:color w:val="auto"/>
        </w:rPr>
      </w:pPr>
    </w:p>
    <w:p>
      <w:pPr>
        <w:jc w:val="both"/>
        <w:ind w:left="360" w:hanging="36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8.9 Advice of Counsel. </w:t>
      </w:r>
      <w:r>
        <w:rPr>
          <w:rFonts w:ascii="Times New Roman" w:cs="Times New Roman" w:eastAsia="Times New Roman" w:hAnsi="Times New Roman"/>
          <w:sz w:val="18"/>
          <w:szCs w:val="18"/>
          <w:color w:val="auto"/>
        </w:rPr>
        <w:t>The Borrower acknowledges that it has had the opportunity to be advised by counsel, in the negotiation, execution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this agreement and any other Related Documents.</w:t>
      </w:r>
    </w:p>
    <w:p>
      <w:pPr>
        <w:spacing w:after="0" w:line="155" w:lineRule="exact"/>
        <w:rPr>
          <w:sz w:val="20"/>
          <w:szCs w:val="20"/>
          <w:color w:val="auto"/>
        </w:rPr>
      </w:pPr>
    </w:p>
    <w:p>
      <w:pPr>
        <w:jc w:val="both"/>
        <w:ind w:left="400" w:hanging="40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8.10 Recovery of Additional Costs. </w:t>
      </w:r>
      <w:r>
        <w:rPr>
          <w:rFonts w:ascii="Times New Roman" w:cs="Times New Roman" w:eastAsia="Times New Roman" w:hAnsi="Times New Roman"/>
          <w:sz w:val="18"/>
          <w:szCs w:val="18"/>
          <w:color w:val="auto"/>
        </w:rPr>
        <w:t>If the imposition of or any change in any Legal Requirement, or the interpretation or application of any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any court or administrative or governmental authority (including any request or policy not having the force of law) shall impose, modify, or make applicable any taxes (except federal, state, or local income or franchise taxes imposed on the Bank), reserve requirements, liquidity requirements, capital adequacy requirements, Federal Deposit Insurance Corporation (FDIC) deposit insurance premiums or assessments, or other obligations which would (A) increase the cost to the Bank for extending, maintaining or funding the Credit Facilities, (B) reduce the amounts payable to the Bank under the Credit Facilities, or (C) reduce the rate of return on the Bank's capital as a consequence of the Bank's obligations with respect to the Credit Facilities, then the Borrower agrees to pay the Bank such additional amounts as will compensate the Bank therefor, within five (5) days after the Bank's written demand for such payment. The Bank's demand shall be accompanied by an explanation of such imposition or charge and a calculation in reasonable detail of the additional amounts payable by the Borrower, which explanation and calculations shall be conclusive in the absence of manifest error.</w:t>
      </w:r>
    </w:p>
    <w:p>
      <w:pPr>
        <w:spacing w:after="0" w:line="185" w:lineRule="exact"/>
        <w:rPr>
          <w:sz w:val="20"/>
          <w:szCs w:val="20"/>
          <w:color w:val="auto"/>
        </w:rPr>
      </w:pPr>
    </w:p>
    <w:p>
      <w:pPr>
        <w:jc w:val="both"/>
        <w:ind w:left="400" w:hanging="40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8.11 Expenses. </w:t>
      </w:r>
      <w:r>
        <w:rPr>
          <w:rFonts w:ascii="Times New Roman" w:cs="Times New Roman" w:eastAsia="Times New Roman" w:hAnsi="Times New Roman"/>
          <w:sz w:val="18"/>
          <w:szCs w:val="18"/>
          <w:color w:val="auto"/>
        </w:rPr>
        <w:t>To the extent not prohibited by law, and regardless of whether the transactions contemplated by this agreement are consummated,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is liable to the Bank and agrees to pay on demand all reasonable costs and expenses of every kind incurred (or charged by internal allocation) in connection with the negotiating, preparing, making, servicing and collection (in bankruptcy or otherwise) of the Credit Facilities and the realization on any Collateral and any other amounts owed under this agreement or the Related Documents, both before and after judgment, including without limitation reasonable attorneys' fees and court costs. The obligations of the Borrower under this section shall survive the termination of this agreement.</w:t>
      </w:r>
    </w:p>
    <w:p>
      <w:pPr>
        <w:spacing w:after="0" w:line="1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88265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576" w:right="339" w:bottom="1440" w:gutter="0" w:footer="0" w:header="0"/>
        </w:sectPr>
      </w:pPr>
    </w:p>
    <w:bookmarkStart w:id="53" w:name="page54"/>
    <w:bookmarkEnd w:id="53"/>
    <w:p>
      <w:pPr>
        <w:jc w:val="both"/>
        <w:ind w:left="440" w:hanging="40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8.12 Assignments. </w:t>
      </w:r>
      <w:r>
        <w:rPr>
          <w:rFonts w:ascii="Times New Roman" w:cs="Times New Roman" w:eastAsia="Times New Roman" w:hAnsi="Times New Roman"/>
          <w:sz w:val="18"/>
          <w:szCs w:val="18"/>
          <w:color w:val="auto"/>
        </w:rPr>
        <w:t>The Borrower agrees that the Bank may at any time sell, assign or transfer one or more interests or participations in all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its rights and obligations in the Notes to one or more purchasers whether or not related to the Bank. Notwithstanding anything to the contrary in this agreement, the Bank may at any time pledge or assign a security interest in all of any portion of its rights under this agreement to secure obligations of the Bank to a Federal Reserve Bank or a Federal Home Loan Bank; provided that no such pledge or assignment shall release the Bank from any of its obligations hereunder or substitute any such pledgee or assignee for the Bank as a party hereto.</w:t>
      </w:r>
    </w:p>
    <w:p>
      <w:pPr>
        <w:spacing w:after="0" w:line="179" w:lineRule="exact"/>
        <w:rPr>
          <w:sz w:val="20"/>
          <w:szCs w:val="20"/>
          <w:color w:val="auto"/>
        </w:rPr>
      </w:pPr>
    </w:p>
    <w:p>
      <w:pPr>
        <w:jc w:val="both"/>
        <w:ind w:left="440" w:hanging="40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8.13 Marketing Consent. </w:t>
      </w:r>
      <w:r>
        <w:rPr>
          <w:rFonts w:ascii="Times New Roman" w:cs="Times New Roman" w:eastAsia="Times New Roman" w:hAnsi="Times New Roman"/>
          <w:sz w:val="18"/>
          <w:szCs w:val="18"/>
          <w:color w:val="auto"/>
        </w:rPr>
        <w:t>The Borrower hereby authorizes the Bank, at Bank's sole expense, and without any prior approval by or compensation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to include the Borrower's name and logo in advertising, marketing, tombstones, case studies and training materials, posted on the Internet (including social media), on the Bank's Intranet, in pitchbooks and materials sent to prospective and existing customers, in newspapers or journals and to give such other publicity to this agreement and any related products and services, as Bank may from time to time determine in its sole discretion.</w:t>
      </w:r>
    </w:p>
    <w:p>
      <w:pPr>
        <w:spacing w:after="0" w:line="179" w:lineRule="exact"/>
        <w:rPr>
          <w:sz w:val="20"/>
          <w:szCs w:val="20"/>
          <w:color w:val="auto"/>
        </w:rPr>
      </w:pPr>
    </w:p>
    <w:p>
      <w:pPr>
        <w:jc w:val="both"/>
        <w:ind w:left="440" w:hanging="41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8.14 Waivers. </w:t>
      </w:r>
      <w:r>
        <w:rPr>
          <w:rFonts w:ascii="Times New Roman" w:cs="Times New Roman" w:eastAsia="Times New Roman" w:hAnsi="Times New Roman"/>
          <w:sz w:val="18"/>
          <w:szCs w:val="18"/>
          <w:color w:val="auto"/>
        </w:rPr>
        <w:t>To the maximum extent not prohibited by applicable Legal Requirements, the Borrower waives (a) any right to receive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matters before the Bank enforces any of its rights: (i) any demand, diligence, presentment, dishonor and protest, or (ii) any action that the Bank takes regarding any Person, any Collateral, or any of the Liabilities, that it might be entitled to by law or under any other agreement;</w:t>
      </w:r>
    </w:p>
    <w:p>
      <w:pPr>
        <w:jc w:val="both"/>
        <w:ind w:left="440" w:hanging="2"/>
        <w:spacing w:after="0" w:line="250" w:lineRule="auto"/>
        <w:tabs>
          <w:tab w:leader="none" w:pos="7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require the Bank to proceed against the Borrower, any other Obligor or any Collateral, or pursue any remedy in the Bank's power to pursue; (c) any defense based on any claim that any Obligor's obligations exceed or are more burdensome than those of the Borrower;</w:t>
      </w:r>
    </w:p>
    <w:p>
      <w:pPr>
        <w:jc w:val="both"/>
        <w:ind w:left="440" w:hanging="2"/>
        <w:spacing w:after="0" w:line="252" w:lineRule="auto"/>
        <w:tabs>
          <w:tab w:leader="none" w:pos="6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any statute of limitations affecting liability of any Obligor or the enforcement hereof; (e) any defense arising by reason of any disability or other defense of the Borrower or by reason of the cessation from any cause whatsoever (other than payment in full) of the obligation of the Borrower for the Liabilities; and (f) any defense based on or arising out of any defense that the Borrower may have to the payment or performance of the Liabilities or any portion thereof. Each Obligor consents to any extension or postponement of time of its payment without limit as to the number or period, to any substitution, exchange or release of all or any part of any Collateral, to the addition of any other party, and to the release or discharge of, or suspension of any rights and remedies against, any Obligor.</w:t>
      </w:r>
    </w:p>
    <w:p>
      <w:pPr>
        <w:spacing w:after="0" w:line="186" w:lineRule="exact"/>
        <w:rPr>
          <w:sz w:val="20"/>
          <w:szCs w:val="20"/>
          <w:color w:val="auto"/>
        </w:rPr>
      </w:pPr>
    </w:p>
    <w:p>
      <w:pPr>
        <w:jc w:val="both"/>
        <w:ind w:left="420" w:hanging="41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8.15 Confidentiality. </w:t>
      </w:r>
      <w:r>
        <w:rPr>
          <w:rFonts w:ascii="Times New Roman" w:cs="Times New Roman" w:eastAsia="Times New Roman" w:hAnsi="Times New Roman"/>
          <w:sz w:val="18"/>
          <w:szCs w:val="18"/>
          <w:color w:val="auto"/>
        </w:rPr>
        <w:t>The Bank agrees that it will treat information provided by the Borrower or its representatives to the Bank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confidential; provided, however, that the Bank may disclose the Information (a) to its Affiliates and its and its Affiliates’ directors, employees, officers, auditors, consultants, agents, counsel and advisors (such Affiliates and such Persons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it being understood that its Representatives shall be informed by the Bank of the confidential nature of such Information and be instructed to comply with the terms of this section to the same extent as is required of the Bank hereunder; (b) in response to a subpoena or other legal process, or as may otherwise be required by law, order or regulation, or upon the request or demand of any governmental or regulatory agency or authority having jurisdiction over the Bank or its Representatives or to defend or prosecute a claim brought against or by the Bank and/or its Representatives; (c) to actual and prospective assignees, actual and prospective participants, and actual and prospective swap counterparties, provided that all such participants, assignees or swap counterparties execute an agreement with the Bank containing provisions substantially the same as those contained in this section; (d) to holders of Equity Interests in the Borrower, other than holders of any Equity Interest in a publicly traded company; (e) to any Obligor; and (f) with the Borrower's consent. The restrictions contained in this section shall not apply to Information which (a) is or becomes generally available to the public other than as a result of a disclosure by the Bank or its Representatives in breach of this section, or (b) becomes available to the Bank or its Representatives from a source, other than the Borrower or one of its agents, who is not known to the Bank or its Representatives to be bound by any obligations of confidentiality to the Borrower, or (c) was known to the Bank or its Representatives prior to its disclosure to the Bank or its Representatives by the Borrower or one of its agents or was independently developed by the Bank or its Representatives, or (d) was or is, after the date hereof, disclosed (or required to be disclosed) by the Borrower to the Bank or any of its Representatives under or in connection with any existing financing relationship between the Borrower and the Bank or any of its Representatives, the disclosure of which shall be governed by the agreements executed in connection with such financing relationship. Any Person required to maintain the confidentiality of the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88265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740" w:top="576" w:right="339" w:bottom="1440" w:gutter="0" w:footer="0" w:header="0"/>
        </w:sectPr>
      </w:pPr>
    </w:p>
    <w:bookmarkStart w:id="54" w:name="page55"/>
    <w:bookmarkEnd w:id="54"/>
    <w:p>
      <w:pPr>
        <w:jc w:val="both"/>
        <w:ind w:left="840" w:hanging="431"/>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8.16 Electronic Signature. </w:t>
      </w:r>
      <w:r>
        <w:rPr>
          <w:rFonts w:ascii="Times New Roman" w:cs="Times New Roman" w:eastAsia="Times New Roman" w:hAnsi="Times New Roman"/>
          <w:sz w:val="18"/>
          <w:szCs w:val="18"/>
          <w:color w:val="auto"/>
        </w:rPr>
        <w:t>Delivery of an executed counterpart of a signature page of this document and any Related Document that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 Signature transmitted by telecopy, emailed pdf. or any other electronic means that reproduces an image of an actual executed signature page shall be effective as delivery of a manually executed counterpart of such document. The words "execution," "signed," "signature," "delivery," and words of like import in or relating to this document and any Related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Bank to accept Electronic Signatures in any form or format without its prior written consent and pursuant to procedures approved by it. If the Bank agrees to accept any Electronic Signature, it shall be entitled to rely on such Electronic Signature purportedly given by or on behalf of the signer(s) without further verification thereof and without any obligation to review the appearance or form of any such Electronic Signature and any Electronic Signature shall be promptly followed by a manually executed counterpart. Without limiting the generality of the foregoing, the signer(s) hereby (i) agrees that, for all purposes, including without limitation, in connection with any workout, restructuring, enforcement of remedies, bankruptcy proceedings or litigation among the Bank and signer(s) of this document or any Related Document, Electronic Signatures transmitted by telecopy, emailed pdf. or any other electronic means that reproduces an image of an actual executed signature page and/or any electronic images of this document and any Related Document shall have the same legal effect, validity and enforceability as any paper original, (ii) agrees that the Bank may, at its option, create one or more copies of this document and any Related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document and any Related Document based solely on the lack of paper original copies of this document and any Related Document, respectively, including with respect to any signature pages thereto and (iv) waives any claim against the Bank for any liabilities arising solely from the Bank’s reliance on or use of Electronic Signatures and/or transmissions by telecopy, emailed pdf. or any other electronic means that reproduces an image of an actual executed signature page, including any liabilities arising as a result of the failure of the signer(s) hereto to use any available security measures in connection with the execution, delivery or transmission of any Electronic Signature. For purposes of this section, </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xml:space="preserve"> shall mean, an electronic sound, symbol, or process attached to, or associated with, a contract or other record and adopted by a Person with the intent to sign, authenticate or accept such contract or record.</w:t>
      </w:r>
    </w:p>
    <w:p>
      <w:pPr>
        <w:spacing w:after="0" w:line="200" w:lineRule="exact"/>
        <w:rPr>
          <w:sz w:val="20"/>
          <w:szCs w:val="20"/>
          <w:color w:val="auto"/>
        </w:rPr>
      </w:pPr>
    </w:p>
    <w:p>
      <w:pPr>
        <w:spacing w:after="0" w:line="220" w:lineRule="exact"/>
        <w:rPr>
          <w:sz w:val="20"/>
          <w:szCs w:val="20"/>
          <w:color w:val="auto"/>
        </w:rPr>
      </w:pPr>
    </w:p>
    <w:p>
      <w:pPr>
        <w:jc w:val="both"/>
        <w:ind w:left="840" w:hanging="417"/>
        <w:spacing w:after="0" w:line="254" w:lineRule="auto"/>
        <w:rPr>
          <w:sz w:val="20"/>
          <w:szCs w:val="20"/>
          <w:color w:val="auto"/>
        </w:rPr>
      </w:pPr>
      <w:r>
        <w:rPr>
          <w:rFonts w:ascii="Times New Roman" w:cs="Times New Roman" w:eastAsia="Times New Roman" w:hAnsi="Times New Roman"/>
          <w:sz w:val="18"/>
          <w:szCs w:val="18"/>
          <w:b w:val="1"/>
          <w:bCs w:val="1"/>
          <w:color w:val="auto"/>
        </w:rPr>
        <w:t>8.17 Limitation of Liability</w:t>
      </w:r>
      <w:r>
        <w:rPr>
          <w:rFonts w:ascii="Times New Roman" w:cs="Times New Roman" w:eastAsia="Times New Roman" w:hAnsi="Times New Roman"/>
          <w:sz w:val="18"/>
          <w:szCs w:val="18"/>
          <w:color w:val="auto"/>
        </w:rPr>
        <w:t>. To the extent permitted by applicable law (i) the signer(s) hereto shall not assert, and the signer(s) hereto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waives, any claim against the Bank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Related Document, or any agreement or instrument contemplated hereby or thereby, the Credit Facilities or the use of the proceeds thereof; provided that, nothing in this clause shall relieve the Borrower of any obligation it may have to indemnify an Indemnified Person against special, indirect, consequential or punitive damages asserted against such Indemnified Person by a third party.</w:t>
      </w:r>
    </w:p>
    <w:p>
      <w:pPr>
        <w:spacing w:after="0" w:line="188" w:lineRule="exact"/>
        <w:rPr>
          <w:sz w:val="20"/>
          <w:szCs w:val="20"/>
          <w:color w:val="auto"/>
        </w:rPr>
      </w:pPr>
    </w:p>
    <w:p>
      <w:pPr>
        <w:ind w:left="340" w:hanging="332"/>
        <w:spacing w:after="0" w:line="286" w:lineRule="auto"/>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USA PATRIOT ACT NOTIFICATION. </w:t>
      </w:r>
      <w:r>
        <w:rPr>
          <w:rFonts w:ascii="Times New Roman" w:cs="Times New Roman" w:eastAsia="Times New Roman" w:hAnsi="Times New Roman"/>
          <w:sz w:val="18"/>
          <w:szCs w:val="18"/>
          <w:color w:val="auto"/>
        </w:rPr>
        <w:t>The following notification is provided to the Borrower pursuant to Section 326 of the USA Patriot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2001, 31 U.S.C. Section 5318:</w:t>
      </w:r>
    </w:p>
    <w:p>
      <w:pPr>
        <w:spacing w:after="0" w:line="159" w:lineRule="exact"/>
        <w:rPr>
          <w:sz w:val="20"/>
          <w:szCs w:val="20"/>
          <w:color w:val="auto"/>
        </w:rPr>
      </w:pPr>
    </w:p>
    <w:p>
      <w:pPr>
        <w:jc w:val="both"/>
        <w:ind w:left="420"/>
        <w:spacing w:after="0" w:line="254" w:lineRule="auto"/>
        <w:rPr>
          <w:sz w:val="20"/>
          <w:szCs w:val="20"/>
          <w:color w:val="auto"/>
        </w:rPr>
      </w:pPr>
      <w:r>
        <w:rPr>
          <w:rFonts w:ascii="Times New Roman" w:cs="Times New Roman" w:eastAsia="Times New Roman" w:hAnsi="Times New Roman"/>
          <w:sz w:val="18"/>
          <w:szCs w:val="18"/>
          <w:color w:val="auto"/>
        </w:rPr>
        <w:t>IMPORTANT INFORMATION ABOUT PROCEDURES FOR OPENING A NEW ACCOUNT. To help the government fight the funding of terrorism and money laundering activities, Federal law requires all financial institutions to obtain, verify, and record information that identifies each Person that opens an account, including any deposit account, treasury management account, loan, other extension of credit, or other financial services product. What this means for the Borrower: When the Borrower opens an account, if it is an individual the Bank will ask for its name, taxpayer identification number, residential address, date of birth, and other information that will allow the Bank to identify it, and, if it is not an individual the Bank will ask for its name, taxpayer identification number, business address, and other information that will allow the Bank to identify it. The Bank may also ask, if the Borrower is an individual, to see its driver’s license or other identifying documents, and if it is not an individual, to see its Organizational Documents or other identifying documents.</w:t>
      </w:r>
    </w:p>
    <w:p>
      <w:pPr>
        <w:spacing w:after="0" w:line="188" w:lineRule="exact"/>
        <w:rPr>
          <w:sz w:val="20"/>
          <w:szCs w:val="20"/>
          <w:color w:val="auto"/>
        </w:rPr>
      </w:pPr>
    </w:p>
    <w:p>
      <w:pPr>
        <w:jc w:val="both"/>
        <w:ind w:left="340" w:hanging="332"/>
        <w:spacing w:after="0" w:line="262" w:lineRule="auto"/>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 OF SPECIAL DAMAGES. </w:t>
      </w:r>
      <w:r>
        <w:rPr>
          <w:rFonts w:ascii="Times New Roman" w:cs="Times New Roman" w:eastAsia="Times New Roman" w:hAnsi="Times New Roman"/>
          <w:sz w:val="18"/>
          <w:szCs w:val="18"/>
          <w:color w:val="auto"/>
        </w:rPr>
        <w:t>WITH RESPECT TO THIS AGREEMENT AND ALL RELATED DOCUMENTS,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WAIVES, TO THE MAXIMUM EXTENT NOT PROHIBITED BY LAW, ANY RIGHT THE UNDERSIGNED MAY HAVE TO CLAIM OR RECOVER FROM THE BANK IN ANY LEGAL ACTION OR PROCEEDING ANY SPECIAL, EXEMPLARY, PUNITIVE OR CONSEQUENTIAL DAMAGES.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jc w:val="both"/>
        <w:ind w:left="340" w:hanging="332"/>
        <w:spacing w:after="0" w:line="259" w:lineRule="auto"/>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JURY WAIVER. </w:t>
      </w:r>
      <w:r>
        <w:rPr>
          <w:rFonts w:ascii="Times New Roman" w:cs="Times New Roman" w:eastAsia="Times New Roman" w:hAnsi="Times New Roman"/>
          <w:sz w:val="18"/>
          <w:szCs w:val="18"/>
          <w:color w:val="auto"/>
        </w:rPr>
        <w:t>TO THE MAXIMUM EXTENT NOT PROHIBITED BY APPLICABLE LAW, THE BORROWER AND THE BANK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ACCEPTANCE HEREOF) HEREBY VOLUNTARILY, KNOWINGLY, IRREVOCABLY AND UNCONDITIONALLY WAIVE ANY RIGHT TO HAVE A JURY PARTICIPATE IN RESOLVING ANY DISPUTE (WHETHER BASED ON CONTRACT, TORT, OR OTHERWISE) BETWEEN THE BORROWER AND THE BANK ARISING OUT OF OR IN ANY WAY RELATED TO THIS AGREEMENT OR THE OTHER RELATED DOCUMENTS. THIS PROVISION IS A MATERIAL INDUCEMENT TO THE BANK TO PROVIDE THE FINANCING DESCRIBED HEREIN.</w:t>
      </w:r>
    </w:p>
    <w:p>
      <w:pPr>
        <w:spacing w:after="0" w:line="17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NORTHERN TECHNOLOGIES INTERNATIONAL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CORPORATION</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 c / M a t t h e w C . W o l s f e l 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Matthew C. Wolsfeld, Chief Financial Officer</w:t>
      </w:r>
    </w:p>
    <w:p>
      <w:pPr>
        <w:spacing w:after="0" w:line="13" w:lineRule="exact"/>
        <w:rPr>
          <w:sz w:val="20"/>
          <w:szCs w:val="20"/>
          <w:color w:val="auto"/>
        </w:rPr>
      </w:pPr>
    </w:p>
    <w:p>
      <w:pPr>
        <w:ind w:left="6760"/>
        <w:spacing w:after="0"/>
        <w:tabs>
          <w:tab w:leader="none" w:pos="8400" w:val="left"/>
        </w:tabs>
        <w:rPr>
          <w:sz w:val="20"/>
          <w:szCs w:val="20"/>
          <w:color w:val="auto"/>
        </w:rPr>
      </w:pPr>
      <w:r>
        <w:rPr>
          <w:rFonts w:ascii="Times New Roman" w:cs="Times New Roman" w:eastAsia="Times New Roman" w:hAnsi="Times New Roman"/>
          <w:sz w:val="14"/>
          <w:szCs w:val="14"/>
          <w:color w:val="auto"/>
        </w:rPr>
        <w:t>Printed Name</w:t>
      </w:r>
      <w:r>
        <w:rPr>
          <w:sz w:val="20"/>
          <w:szCs w:val="20"/>
          <w:color w:val="auto"/>
        </w:rPr>
        <w:tab/>
      </w:r>
      <w:r>
        <w:rPr>
          <w:rFonts w:ascii="Times New Roman" w:cs="Times New Roman" w:eastAsia="Times New Roman" w:hAnsi="Times New Roman"/>
          <w:sz w:val="13"/>
          <w:szCs w:val="13"/>
          <w:color w:val="auto"/>
        </w:rPr>
        <w:t>Title</w:t>
      </w: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Signed: 1/5/23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4912995</wp:posOffset>
            </wp:positionH>
            <wp:positionV relativeFrom="paragraph">
              <wp:posOffset>-7620</wp:posOffset>
            </wp:positionV>
            <wp:extent cx="15201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 s / M a r t i n A. C h e r r n e 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Martin A. Cherrney, Authorized Officer</w:t>
      </w:r>
    </w:p>
    <w:p>
      <w:pPr>
        <w:spacing w:after="0" w:line="13" w:lineRule="exact"/>
        <w:rPr>
          <w:sz w:val="20"/>
          <w:szCs w:val="20"/>
          <w:color w:val="auto"/>
        </w:rPr>
      </w:pPr>
    </w:p>
    <w:p>
      <w:pPr>
        <w:ind w:left="6760"/>
        <w:spacing w:after="0"/>
        <w:tabs>
          <w:tab w:leader="none" w:pos="8400" w:val="left"/>
        </w:tabs>
        <w:rPr>
          <w:sz w:val="20"/>
          <w:szCs w:val="20"/>
          <w:color w:val="auto"/>
        </w:rPr>
      </w:pPr>
      <w:r>
        <w:rPr>
          <w:rFonts w:ascii="Times New Roman" w:cs="Times New Roman" w:eastAsia="Times New Roman" w:hAnsi="Times New Roman"/>
          <w:sz w:val="14"/>
          <w:szCs w:val="14"/>
          <w:color w:val="auto"/>
        </w:rPr>
        <w:t>Printed Name</w:t>
      </w:r>
      <w:r>
        <w:rPr>
          <w:sz w:val="20"/>
          <w:szCs w:val="20"/>
          <w:color w:val="auto"/>
        </w:rPr>
        <w:tab/>
      </w:r>
      <w:r>
        <w:rPr>
          <w:rFonts w:ascii="Times New Roman" w:cs="Times New Roman" w:eastAsia="Times New Roman" w:hAnsi="Times New Roman"/>
          <w:sz w:val="13"/>
          <w:szCs w:val="13"/>
          <w:color w:val="auto"/>
        </w:rPr>
        <w:t>Title</w:t>
      </w: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Signed: 1/5/23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4912995</wp:posOffset>
            </wp:positionH>
            <wp:positionV relativeFrom="paragraph">
              <wp:posOffset>-7620</wp:posOffset>
            </wp:positionV>
            <wp:extent cx="15201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Cynthia Svientek \ CDP-9471690000000 \ STRM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010073112000 \ DW000B00961587988548\nonstd\williams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tbl>
      <w:tblPr>
        <w:tblLayout w:type="fixed"/>
        <w:tblInd w:w="1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6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COMPLIANCE CERTIFICATE</w:t>
            </w:r>
          </w:p>
        </w:tc>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3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JPMorgan Chase Bank, N.A.</w:t>
            </w:r>
          </w:p>
        </w:tc>
        <w:tc>
          <w:tcPr>
            <w:tcW w:w="1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607"/>
        </w:trPr>
        <w:tc>
          <w:tcPr>
            <w:tcW w:w="440" w:type="dxa"/>
            <w:vAlign w:val="bottom"/>
          </w:tcPr>
          <w:p>
            <w:pPr>
              <w:spacing w:after="0"/>
              <w:rPr>
                <w:sz w:val="24"/>
                <w:szCs w:val="24"/>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This Compliance Certificate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for the period ended</w:t>
            </w:r>
          </w:p>
        </w:tc>
        <w:tc>
          <w:tcPr>
            <w:tcW w:w="2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20</w:t>
            </w:r>
          </w:p>
        </w:tc>
        <w:tc>
          <w:tcPr>
            <w:tcW w:w="3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is furnished pursuant to that certain</w:t>
            </w:r>
          </w:p>
        </w:tc>
      </w:tr>
      <w:tr>
        <w:trPr>
          <w:trHeight w:val="20"/>
        </w:trPr>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214"/>
        </w:trPr>
        <w:tc>
          <w:tcPr>
            <w:tcW w:w="440" w:type="dxa"/>
            <w:vAlign w:val="bottom"/>
          </w:tcPr>
          <w:p>
            <w:pPr>
              <w:spacing w:after="0"/>
              <w:rPr>
                <w:sz w:val="18"/>
                <w:szCs w:val="18"/>
                <w:color w:val="auto"/>
              </w:rPr>
            </w:pPr>
          </w:p>
        </w:tc>
        <w:tc>
          <w:tcPr>
            <w:tcW w:w="1036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w w:val="99"/>
              </w:rPr>
              <w:t xml:space="preserve">Credit Agreement dated as of December 19, 2022 (as amended, modified, renewed or extended from time to time, the </w:t>
            </w:r>
            <w:r>
              <w:rPr>
                <w:rFonts w:ascii="Times New Roman" w:cs="Times New Roman" w:eastAsia="Times New Roman" w:hAnsi="Times New Roman"/>
                <w:sz w:val="18"/>
                <w:szCs w:val="18"/>
                <w:b w:val="1"/>
                <w:bCs w:val="1"/>
                <w:color w:val="auto"/>
                <w:w w:val="99"/>
              </w:rPr>
              <w:t>"Agreement"</w:t>
            </w:r>
            <w:r>
              <w:rPr>
                <w:rFonts w:ascii="Times New Roman" w:cs="Times New Roman" w:eastAsia="Times New Roman" w:hAnsi="Times New Roman"/>
                <w:sz w:val="18"/>
                <w:szCs w:val="18"/>
                <w:color w:val="auto"/>
                <w:w w:val="99"/>
              </w:rPr>
              <w:t>) among</w:t>
            </w:r>
          </w:p>
        </w:tc>
      </w:tr>
      <w:tr>
        <w:trPr>
          <w:trHeight w:val="220"/>
        </w:trPr>
        <w:tc>
          <w:tcPr>
            <w:tcW w:w="440" w:type="dxa"/>
            <w:vAlign w:val="bottom"/>
          </w:tcPr>
          <w:p>
            <w:pPr>
              <w:spacing w:after="0"/>
              <w:rPr>
                <w:sz w:val="19"/>
                <w:szCs w:val="19"/>
                <w:color w:val="auto"/>
              </w:rPr>
            </w:pPr>
          </w:p>
        </w:tc>
        <w:tc>
          <w:tcPr>
            <w:tcW w:w="1036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w w:val="99"/>
              </w:rPr>
              <w:t xml:space="preserve">NORTHERN TECHNOLOGIES INTERNATIONAL CORPORATION (the </w:t>
            </w:r>
            <w:r>
              <w:rPr>
                <w:rFonts w:ascii="Times New Roman" w:cs="Times New Roman" w:eastAsia="Times New Roman" w:hAnsi="Times New Roman"/>
                <w:sz w:val="18"/>
                <w:szCs w:val="18"/>
                <w:b w:val="1"/>
                <w:bCs w:val="1"/>
                <w:color w:val="auto"/>
                <w:w w:val="99"/>
              </w:rPr>
              <w:t>"Borrower"</w:t>
            </w:r>
            <w:r>
              <w:rPr>
                <w:rFonts w:ascii="Times New Roman" w:cs="Times New Roman" w:eastAsia="Times New Roman" w:hAnsi="Times New Roman"/>
                <w:sz w:val="18"/>
                <w:szCs w:val="18"/>
                <w:color w:val="auto"/>
                <w:w w:val="99"/>
              </w:rPr>
              <w:t xml:space="preserve">), and JPMorgan Chase Bank, N.A. (the </w:t>
            </w:r>
            <w:r>
              <w:rPr>
                <w:rFonts w:ascii="Times New Roman" w:cs="Times New Roman" w:eastAsia="Times New Roman" w:hAnsi="Times New Roman"/>
                <w:sz w:val="18"/>
                <w:szCs w:val="18"/>
                <w:b w:val="1"/>
                <w:bCs w:val="1"/>
                <w:color w:val="auto"/>
                <w:w w:val="99"/>
              </w:rPr>
              <w:t>"Bank"</w:t>
            </w:r>
            <w:r>
              <w:rPr>
                <w:rFonts w:ascii="Times New Roman" w:cs="Times New Roman" w:eastAsia="Times New Roman" w:hAnsi="Times New Roman"/>
                <w:sz w:val="18"/>
                <w:szCs w:val="18"/>
                <w:color w:val="auto"/>
                <w:w w:val="99"/>
              </w:rPr>
              <w:t>).</w:t>
            </w:r>
          </w:p>
        </w:tc>
      </w:tr>
      <w:tr>
        <w:trPr>
          <w:trHeight w:val="234"/>
        </w:trPr>
        <w:tc>
          <w:tcPr>
            <w:tcW w:w="440" w:type="dxa"/>
            <w:vAlign w:val="bottom"/>
          </w:tcPr>
          <w:p>
            <w:pPr>
              <w:spacing w:after="0"/>
              <w:rPr>
                <w:sz w:val="20"/>
                <w:szCs w:val="20"/>
                <w:color w:val="auto"/>
              </w:rPr>
            </w:pPr>
          </w:p>
        </w:tc>
        <w:tc>
          <w:tcPr>
            <w:tcW w:w="10360" w:type="dxa"/>
            <w:vAlign w:val="bottom"/>
            <w:gridSpan w:val="8"/>
          </w:tcPr>
          <w:p>
            <w:pPr>
              <w:ind w:left="200"/>
              <w:spacing w:after="0"/>
              <w:rPr>
                <w:sz w:val="20"/>
                <w:szCs w:val="20"/>
                <w:color w:val="auto"/>
              </w:rPr>
            </w:pPr>
            <w:r>
              <w:rPr>
                <w:rFonts w:ascii="Times New Roman" w:cs="Times New Roman" w:eastAsia="Times New Roman" w:hAnsi="Times New Roman"/>
                <w:sz w:val="18"/>
                <w:szCs w:val="18"/>
                <w:color w:val="auto"/>
              </w:rPr>
              <w:t>Unless otherwise defined herein, capitalized terms used in this Compliance Certificate have the meanings ascribed thereto in the Agreement.</w:t>
            </w:r>
          </w:p>
        </w:tc>
      </w:tr>
      <w:tr>
        <w:trPr>
          <w:trHeight w:val="432"/>
        </w:trPr>
        <w:tc>
          <w:tcPr>
            <w:tcW w:w="440" w:type="dxa"/>
            <w:vAlign w:val="bottom"/>
          </w:tcPr>
          <w:p>
            <w:pPr>
              <w:spacing w:after="0"/>
              <w:rPr>
                <w:sz w:val="24"/>
                <w:szCs w:val="24"/>
                <w:color w:val="auto"/>
              </w:rPr>
            </w:pPr>
          </w:p>
        </w:tc>
        <w:tc>
          <w:tcPr>
            <w:tcW w:w="5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UNDERSIGNED HEREBY CERTIFIES THAT:</w:t>
            </w: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92"/>
        </w:trPr>
        <w:tc>
          <w:tcPr>
            <w:tcW w:w="44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  I am the</w:t>
            </w:r>
          </w:p>
        </w:tc>
        <w:tc>
          <w:tcPr>
            <w:tcW w:w="2020" w:type="dxa"/>
            <w:vAlign w:val="bottom"/>
            <w:tcBorders>
              <w:bottom w:val="single" w:sz="8" w:color="auto"/>
            </w:tcBorders>
          </w:tcPr>
          <w:p>
            <w:pPr>
              <w:spacing w:after="0"/>
              <w:rPr>
                <w:sz w:val="24"/>
                <w:szCs w:val="24"/>
                <w:color w:val="auto"/>
              </w:rPr>
            </w:pPr>
          </w:p>
        </w:tc>
        <w:tc>
          <w:tcPr>
            <w:tcW w:w="71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of the Borrower and I am authorized to deliver this Certificate on behalf of the Borrower and its</w:t>
            </w:r>
          </w:p>
        </w:tc>
      </w:tr>
      <w:tr>
        <w:trPr>
          <w:trHeight w:val="237"/>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8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r>
    </w:tbl>
    <w:p>
      <w:pPr>
        <w:spacing w:after="0" w:line="198" w:lineRule="exact"/>
        <w:rPr>
          <w:sz w:val="20"/>
          <w:szCs w:val="20"/>
          <w:color w:val="auto"/>
        </w:rPr>
      </w:pPr>
    </w:p>
    <w:p>
      <w:pPr>
        <w:ind w:left="100" w:right="380" w:firstLine="646"/>
        <w:spacing w:after="0" w:line="266" w:lineRule="auto"/>
        <w:tabs>
          <w:tab w:leader="none" w:pos="10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the terms of the Agreement and I have made, or have caused to be made under my supervision, a detailed review of the compliance of the Borrower and its Subsidiaries with the Agreement during the accounting period covered by the attached financial statements (the </w:t>
      </w:r>
      <w:r>
        <w:rPr>
          <w:rFonts w:ascii="Times New Roman" w:cs="Times New Roman" w:eastAsia="Times New Roman" w:hAnsi="Times New Roman"/>
          <w:sz w:val="18"/>
          <w:szCs w:val="18"/>
          <w:b w:val="1"/>
          <w:bCs w:val="1"/>
          <w:color w:val="auto"/>
        </w:rPr>
        <w:t>"Relevant Period"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00" w:right="20" w:firstLine="646"/>
        <w:spacing w:after="0" w:line="266" w:lineRule="auto"/>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financial statements of the Borrower and, as applicable, its Subsidiaries and/or Affiliates for the Relevant Period: (a) have been prepared on an accounting basis consistent with the requirements of the Agreement, and (b) to the extent that the attached are not the Borrower’s annual fiscal year end statements, are subject to normal year-end audit adjustments and the absence of footnotes;</w:t>
      </w:r>
    </w:p>
    <w:p>
      <w:pPr>
        <w:spacing w:after="0" w:line="175" w:lineRule="exact"/>
        <w:rPr>
          <w:rFonts w:ascii="Times New Roman" w:cs="Times New Roman" w:eastAsia="Times New Roman" w:hAnsi="Times New Roman"/>
          <w:sz w:val="18"/>
          <w:szCs w:val="18"/>
          <w:color w:val="auto"/>
        </w:rPr>
      </w:pPr>
    </w:p>
    <w:p>
      <w:pPr>
        <w:ind w:left="100" w:firstLine="646"/>
        <w:spacing w:after="0" w:line="256" w:lineRule="auto"/>
        <w:tabs>
          <w:tab w:leader="none" w:pos="10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examinations described in paragraph 2 did not disclose and I have no knowledge of, except as set forth below, (a) the existence of any condition or event which constitutes a default or an event of default under the Agreement or any other Related Document during or at the end of the Relevant Period that is continuing or as of the date of this Certificate, or which would, subject to the giving of notice or the lapse of time or both, constitute a default or event of default under the Agreement or any other Related Document during or at the end of the Relevant Period or as of the date of this Certificate or (b) any change in the accounting basis or in the application thereof that has occurred since the date of the annual financial statements delivered to the Bank in connection with the closing of the Agreement or subsequently delivered as required in the Agreement;</w:t>
      </w:r>
    </w:p>
    <w:p>
      <w:pPr>
        <w:spacing w:after="0" w:line="187" w:lineRule="exact"/>
        <w:rPr>
          <w:rFonts w:ascii="Times New Roman" w:cs="Times New Roman" w:eastAsia="Times New Roman" w:hAnsi="Times New Roman"/>
          <w:sz w:val="18"/>
          <w:szCs w:val="18"/>
          <w:color w:val="auto"/>
        </w:rPr>
      </w:pPr>
    </w:p>
    <w:p>
      <w:pPr>
        <w:ind w:left="100" w:right="200" w:firstLine="646"/>
        <w:spacing w:after="0" w:line="312" w:lineRule="auto"/>
        <w:tabs>
          <w:tab w:leader="none" w:pos="106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hereby certify that, except as set forth below, no Obligor has, if applicable, changed its (i) name, (ii) chief executive office, (iii) principal place of business, (iv) the type of entity it is or (v) state of incorporation or organization without having received the Bank’s prior written consent;</w:t>
      </w:r>
    </w:p>
    <w:p>
      <w:pPr>
        <w:spacing w:after="0" w:line="139" w:lineRule="exact"/>
        <w:rPr>
          <w:rFonts w:ascii="Times New Roman" w:cs="Times New Roman" w:eastAsia="Times New Roman" w:hAnsi="Times New Roman"/>
          <w:sz w:val="17"/>
          <w:szCs w:val="17"/>
          <w:color w:val="auto"/>
        </w:rPr>
      </w:pPr>
    </w:p>
    <w:p>
      <w:pPr>
        <w:ind w:left="100" w:right="240" w:firstLine="646"/>
        <w:spacing w:after="0" w:line="282" w:lineRule="auto"/>
        <w:tabs>
          <w:tab w:leader="none" w:pos="10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sets forth financial data and computations evidencing the Borrower’s compliance with certain covenants of the Agreement, all of which data and computations are true, complete and correct; and</w:t>
      </w:r>
    </w:p>
    <w:p>
      <w:pPr>
        <w:spacing w:after="0" w:line="161" w:lineRule="exact"/>
        <w:rPr>
          <w:rFonts w:ascii="Times New Roman" w:cs="Times New Roman" w:eastAsia="Times New Roman" w:hAnsi="Times New Roman"/>
          <w:sz w:val="18"/>
          <w:szCs w:val="18"/>
          <w:color w:val="auto"/>
        </w:rPr>
      </w:pPr>
    </w:p>
    <w:p>
      <w:pPr>
        <w:ind w:left="100" w:right="40" w:firstLine="646"/>
        <w:spacing w:after="0" w:line="266" w:lineRule="auto"/>
        <w:tabs>
          <w:tab w:leader="none" w:pos="10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Described below are the exceptions, if any, referred to in paragraph 4 hereof by listing, in detail, the (i) nature of the condition or event, the period during which it has existed and the action which the Borrower has taken, is taking, or proposes to take with respect to each such condition or event or (ii) change in the accounting basis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foregoing certifications, together with the computations set forth in Schedule I hereto and the financial statements delivered with this</w:t>
      </w:r>
    </w:p>
    <w:p>
      <w:pPr>
        <w:spacing w:after="0" w:line="27" w:lineRule="exact"/>
        <w:rPr>
          <w:sz w:val="20"/>
          <w:szCs w:val="20"/>
          <w:color w:val="auto"/>
        </w:rPr>
      </w:pPr>
    </w:p>
    <w:p>
      <w:pPr>
        <w:ind w:left="100"/>
        <w:spacing w:after="0"/>
        <w:tabs>
          <w:tab w:leader="none" w:pos="4680" w:val="left"/>
          <w:tab w:leader="none" w:pos="6620" w:val="left"/>
          <w:tab w:leader="none" w:pos="7280" w:val="left"/>
        </w:tabs>
        <w:rPr>
          <w:sz w:val="20"/>
          <w:szCs w:val="20"/>
          <w:color w:val="auto"/>
        </w:rPr>
      </w:pPr>
      <w:r>
        <w:rPr>
          <w:rFonts w:ascii="Times New Roman" w:cs="Times New Roman" w:eastAsia="Times New Roman" w:hAnsi="Times New Roman"/>
          <w:sz w:val="18"/>
          <w:szCs w:val="18"/>
          <w:color w:val="auto"/>
        </w:rPr>
        <w:t>Certificate in support hereof, are made and delivered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-19050</wp:posOffset>
            </wp:positionV>
            <wp:extent cx="19450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45005" cy="8255"/>
                    </a:xfrm>
                    <a:prstGeom prst="rect">
                      <a:avLst/>
                    </a:prstGeom>
                    <a:noFill/>
                  </pic:spPr>
                </pic:pic>
              </a:graphicData>
            </a:graphic>
          </wp:anchor>
        </w:drawing>
      </w:r>
    </w:p>
    <w:p>
      <w:pPr>
        <w:spacing w:after="0" w:line="18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NORTHERN TECHNOLOGIES INTERNATIONAL</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-7620</wp:posOffset>
            </wp:positionV>
            <wp:extent cx="3141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41980" cy="8890"/>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-19050</wp:posOffset>
            </wp:positionV>
            <wp:extent cx="25990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ind w:left="6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-19050</wp:posOffset>
            </wp:positionV>
            <wp:extent cx="26562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620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Compliance Certificate Form as of December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57" w:name="page58"/>
    <w:bookmarkEnd w:id="57"/>
    <w:p>
      <w:pPr>
        <w:jc w:val="center"/>
        <w:ind w:left="860"/>
        <w:spacing w:after="0"/>
        <w:rPr>
          <w:sz w:val="20"/>
          <w:szCs w:val="20"/>
          <w:color w:val="auto"/>
        </w:rPr>
      </w:pPr>
      <w:r>
        <w:rPr>
          <w:rFonts w:ascii="Times New Roman" w:cs="Times New Roman" w:eastAsia="Times New Roman" w:hAnsi="Times New Roman"/>
          <w:sz w:val="18"/>
          <w:szCs w:val="18"/>
          <w:color w:val="auto"/>
        </w:rPr>
        <w:t>Schedule I to Compliance Certificate for NORTHERN TECHNOLOGIES INTERNATIONAL CORPORATION</w:t>
      </w:r>
    </w:p>
    <w:p>
      <w:pPr>
        <w:spacing w:after="0" w:line="2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Financial Covenants</w:t>
      </w:r>
    </w:p>
    <w:p>
      <w:pPr>
        <w:spacing w:after="0" w:line="203" w:lineRule="exact"/>
        <w:rPr>
          <w:sz w:val="20"/>
          <w:szCs w:val="20"/>
          <w:color w:val="auto"/>
        </w:rPr>
      </w:pPr>
    </w:p>
    <w:p>
      <w:pPr>
        <w:ind w:left="3580"/>
        <w:spacing w:after="0"/>
        <w:tabs>
          <w:tab w:leader="none" w:pos="6260" w:val="left"/>
          <w:tab w:leader="none" w:pos="6940" w:val="left"/>
        </w:tabs>
        <w:rPr>
          <w:sz w:val="20"/>
          <w:szCs w:val="20"/>
          <w:color w:val="auto"/>
        </w:rPr>
      </w:pPr>
      <w:r>
        <w:rPr>
          <w:rFonts w:ascii="Times New Roman" w:cs="Times New Roman" w:eastAsia="Times New Roman" w:hAnsi="Times New Roman"/>
          <w:sz w:val="18"/>
          <w:szCs w:val="18"/>
          <w:color w:val="auto"/>
        </w:rPr>
        <w:t>Compliance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"Compliance Test Date"</w:t>
      </w:r>
      <w:r>
        <w:rPr>
          <w:rFonts w:ascii="Times New Roman" w:cs="Times New Roman" w:eastAsia="Times New Roman" w:hAnsi="Times New Roman"/>
          <w:sz w:val="17"/>
          <w:szCs w:val="17"/>
          <w:color w:val="auto"/>
        </w:rPr>
        <w: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-5080</wp:posOffset>
            </wp:positionV>
            <wp:extent cx="13138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Certain covenants contained in the Agreement and</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Supporting calculations attached hereto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Financial Covenants</w:t>
      </w:r>
      <w:r>
        <w:rPr>
          <w:rFonts w:ascii="Times New Roman" w:cs="Times New Roman" w:eastAsia="Times New Roman" w:hAnsi="Times New Roman"/>
          <w:sz w:val="18"/>
          <w:szCs w:val="18"/>
          <w:color w:val="auto"/>
        </w:rPr>
        <w:t>. Without the prior written consent of the Bank, the Borrower will not:</w:t>
      </w:r>
    </w:p>
    <w:p>
      <w:pPr>
        <w:spacing w:after="0" w:line="225" w:lineRule="exact"/>
        <w:rPr>
          <w:sz w:val="20"/>
          <w:szCs w:val="20"/>
          <w:color w:val="auto"/>
        </w:rPr>
      </w:pPr>
    </w:p>
    <w:p>
      <w:pPr>
        <w:jc w:val="both"/>
        <w:ind w:left="900" w:firstLine="8"/>
        <w:spacing w:after="0" w:line="268" w:lineRule="auto"/>
        <w:tabs>
          <w:tab w:leader="none" w:pos="126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Fixed Charge Coverage Ratio. </w:t>
      </w:r>
      <w:r>
        <w:rPr>
          <w:rFonts w:ascii="Times New Roman" w:cs="Times New Roman" w:eastAsia="Times New Roman" w:hAnsi="Times New Roman"/>
          <w:sz w:val="18"/>
          <w:szCs w:val="18"/>
          <w:color w:val="auto"/>
        </w:rPr>
        <w:t>Permit at any fiscal quarter end the Fixed Charge Coverage Ratio to be less than 1.25 to 1.00. As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subsection, the term "</w:t>
      </w:r>
      <w:r>
        <w:rPr>
          <w:rFonts w:ascii="Times New Roman" w:cs="Times New Roman" w:eastAsia="Times New Roman" w:hAnsi="Times New Roman"/>
          <w:sz w:val="18"/>
          <w:szCs w:val="18"/>
          <w:b w:val="1"/>
          <w:bCs w:val="1"/>
          <w:color w:val="auto"/>
        </w:rPr>
        <w:t>Fixed Charge Coverage Ratio</w:t>
      </w:r>
      <w:r>
        <w:rPr>
          <w:rFonts w:ascii="Times New Roman" w:cs="Times New Roman" w:eastAsia="Times New Roman" w:hAnsi="Times New Roman"/>
          <w:sz w:val="18"/>
          <w:szCs w:val="18"/>
          <w:color w:val="auto"/>
        </w:rPr>
        <w:t>" means the ratio, computed for the Borrower and its Subsidiaries on a consolidated basis, of</w:t>
      </w:r>
    </w:p>
    <w:p>
      <w:pPr>
        <w:spacing w:after="0" w:line="386" w:lineRule="exact"/>
        <w:rPr>
          <w:sz w:val="20"/>
          <w:szCs w:val="20"/>
          <w:color w:val="auto"/>
        </w:rPr>
      </w:pPr>
    </w:p>
    <w:tbl>
      <w:tblPr>
        <w:tblLayout w:type="fixed"/>
        <w:tblInd w:w="1130" w:type="dxa"/>
        <w:tblCellMar>
          <w:top w:w="0" w:type="dxa"/>
          <w:left w:w="0" w:type="dxa"/>
          <w:bottom w:w="0" w:type="dxa"/>
          <w:right w:w="0" w:type="dxa"/>
        </w:tblCellMar>
      </w:tblPr>
      <w:tr>
        <w:trPr>
          <w:trHeight w:val="249"/>
        </w:trPr>
        <w:tc>
          <w:tcPr>
            <w:tcW w:w="45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  Net Income</w:t>
            </w:r>
          </w:p>
        </w:tc>
        <w:tc>
          <w:tcPr>
            <w:tcW w:w="20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4540" w:type="dxa"/>
            <w:vAlign w:val="bottom"/>
            <w:tcBorders>
              <w:left w:val="single" w:sz="8" w:color="auto"/>
              <w:bottom w:val="single" w:sz="8" w:color="auto"/>
              <w:right w:val="single" w:sz="8" w:color="auto"/>
            </w:tcBorders>
          </w:tcPr>
          <w:p>
            <w:pPr>
              <w:ind w:left="500"/>
              <w:spacing w:after="0" w:line="193" w:lineRule="exact"/>
              <w:rPr>
                <w:sz w:val="20"/>
                <w:szCs w:val="20"/>
                <w:color w:val="auto"/>
              </w:rPr>
            </w:pPr>
            <w:r>
              <w:rPr>
                <w:rFonts w:ascii="Times New Roman" w:cs="Times New Roman" w:eastAsia="Times New Roman" w:hAnsi="Times New Roman"/>
                <w:sz w:val="18"/>
                <w:szCs w:val="18"/>
                <w:color w:val="auto"/>
              </w:rPr>
              <w:t>plus income tax expense</w:t>
            </w:r>
          </w:p>
        </w:tc>
        <w:tc>
          <w:tcPr>
            <w:tcW w:w="2060" w:type="dxa"/>
            <w:vAlign w:val="bottom"/>
            <w:tcBorders>
              <w:bottom w:val="single" w:sz="8" w:color="auto"/>
            </w:tcBorders>
          </w:tcPr>
          <w:p>
            <w:pPr>
              <w:ind w:left="3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r>
      <w:tr>
        <w:trPr>
          <w:trHeight w:val="209"/>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plus amortization expense</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10"/>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plus depreciation expense</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09"/>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plus interest expense</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09"/>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plus dividends received from joint ventures</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10"/>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minus Unfinanced Capital Expenditures</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09"/>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minus equity in income from joint ventures</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10"/>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 TOTAL</w:t>
            </w:r>
          </w:p>
        </w:tc>
        <w:tc>
          <w:tcPr>
            <w:tcW w:w="2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09"/>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  scheduled principal payments made</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09"/>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plus scheduled finance lease payments made</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10"/>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plus interest expense paid</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09"/>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plus income tax expense paid</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10"/>
        </w:trPr>
        <w:tc>
          <w:tcPr>
            <w:tcW w:w="454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plus cash Distributions paid</w:t>
            </w:r>
          </w:p>
        </w:tc>
        <w:tc>
          <w:tcPr>
            <w:tcW w:w="2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10"/>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 TOTAL</w:t>
            </w:r>
          </w:p>
        </w:tc>
        <w:tc>
          <w:tcPr>
            <w:tcW w:w="2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r>
      <w:tr>
        <w:trPr>
          <w:trHeight w:val="210"/>
        </w:trPr>
        <w:tc>
          <w:tcPr>
            <w:tcW w:w="45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 Total / B Total = Fixed Charge Coverage Ratio</w:t>
            </w:r>
          </w:p>
        </w:tc>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___:1.00</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r>
      <w:tr>
        <w:trPr>
          <w:trHeight w:val="385"/>
        </w:trPr>
        <w:tc>
          <w:tcPr>
            <w:tcW w:w="75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 xml:space="preserve">As of the Compliance Test Date shown above, the </w:t>
            </w:r>
            <w:r>
              <w:rPr>
                <w:rFonts w:ascii="Times New Roman" w:cs="Times New Roman" w:eastAsia="Times New Roman" w:hAnsi="Times New Roman"/>
                <w:sz w:val="18"/>
                <w:szCs w:val="18"/>
                <w:b w:val="1"/>
                <w:bCs w:val="1"/>
                <w:color w:val="auto"/>
              </w:rPr>
              <w:t>Fixed Charge Coverage Ratio</w:t>
            </w:r>
            <w:r>
              <w:rPr>
                <w:rFonts w:ascii="Times New Roman" w:cs="Times New Roman" w:eastAsia="Times New Roman" w:hAnsi="Times New Roman"/>
                <w:sz w:val="18"/>
                <w:szCs w:val="18"/>
                <w:color w:val="auto"/>
              </w:rPr>
              <w:t xml:space="preserve"> is</w:t>
            </w: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to 1.00</w:t>
            </w:r>
          </w:p>
        </w:tc>
      </w:tr>
      <w:tr>
        <w:trPr>
          <w:trHeight w:val="453"/>
        </w:trPr>
        <w:tc>
          <w:tcPr>
            <w:tcW w:w="66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Compliance as of the Compliance Test Date shown above:</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 Yes</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 No</w:t>
            </w:r>
          </w:p>
        </w:tc>
        <w:tc>
          <w:tcPr>
            <w:tcW w:w="58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35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60" w:hanging="4"/>
        <w:spacing w:after="0" w:line="266" w:lineRule="auto"/>
        <w:tabs>
          <w:tab w:leader="none" w:pos="13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35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3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35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80" w:hanging="4"/>
        <w:spacing w:after="0" w:line="282" w:lineRule="auto"/>
        <w:tabs>
          <w:tab w:leader="none" w:pos="136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13,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31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7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31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40" w:hanging="4"/>
        <w:spacing w:after="0" w:line="266" w:lineRule="auto"/>
        <w:tabs>
          <w:tab w:leader="none" w:pos="127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31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7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13, 2023</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60" w:name="page61"/>
    <w:bookmarkEnd w:id="6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28, 2023,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13, 2023</w:t>
      </w:r>
    </w:p>
    <w:p>
      <w:pPr>
        <w:sectPr>
          <w:pgSz w:w="11900" w:h="16838" w:orient="portrait"/>
          <w:cols w:equalWidth="0" w:num="1">
            <w:col w:w="11240"/>
          </w:cols>
          <w:pgMar w:left="320" w:top="117" w:right="339" w:bottom="1440" w:gutter="0" w:footer="0" w:header="0"/>
        </w:sectPr>
      </w:pPr>
    </w:p>
    <w:bookmarkStart w:id="61" w:name="page62"/>
    <w:bookmarkEnd w:id="61"/>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28, 2023,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13, 2023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decimal"/>
      <w:start w:val="5"/>
    </w:lvl>
  </w:abstractNum>
  <w:abstractNum w:abstractNumId="6">
    <w:nsid w:val="3006C83E"/>
    <w:multiLevelType w:val="hybridMultilevel"/>
    <w:lvl w:ilvl="0">
      <w:lvlJc w:val="left"/>
      <w:lvlText w:val="%1."/>
      <w:numFmt w:val="decimal"/>
      <w:start w:val="6"/>
    </w:lvl>
  </w:abstractNum>
  <w:abstractNum w:abstractNumId="7">
    <w:nsid w:val="614FD4A1"/>
    <w:multiLevelType w:val="hybridMultilevel"/>
    <w:lvl w:ilvl="0">
      <w:lvlJc w:val="left"/>
      <w:lvlText w:val="%1."/>
      <w:numFmt w:val="decimal"/>
      <w:start w:val="7"/>
    </w:lvl>
  </w:abstractNum>
  <w:abstractNum w:abstractNumId="8">
    <w:nsid w:val="419AC241"/>
    <w:multiLevelType w:val="hybridMultilevel"/>
    <w:lvl w:ilvl="0">
      <w:lvlJc w:val="left"/>
      <w:lvlText w:val="%1."/>
      <w:numFmt w:val="decimal"/>
      <w:start w:val="8"/>
    </w:lvl>
  </w:abstractNum>
  <w:abstractNum w:abstractNumId="9">
    <w:nsid w:val="5577F8E1"/>
    <w:multiLevelType w:val="hybridMultilevel"/>
    <w:lvl w:ilvl="0">
      <w:lvlJc w:val="left"/>
      <w:lvlText w:val="%1."/>
      <w:numFmt w:val="decimal"/>
      <w:start w:val="9"/>
    </w:lvl>
  </w:abstractNum>
  <w:abstractNum w:abstractNumId="10">
    <w:nsid w:val="440BADFC"/>
    <w:multiLevelType w:val="hybridMultilevel"/>
    <w:lvl w:ilvl="0">
      <w:lvlJc w:val="left"/>
      <w:lvlText w:val="%1."/>
      <w:numFmt w:val="decimal"/>
      <w:start w:val="10"/>
    </w:lvl>
  </w:abstractNum>
  <w:abstractNum w:abstractNumId="11">
    <w:nsid w:val="5072367"/>
    <w:multiLevelType w:val="hybridMultilevel"/>
    <w:lvl w:ilvl="0">
      <w:lvlJc w:val="left"/>
      <w:lvlText w:val="%1."/>
      <w:numFmt w:val="decimal"/>
      <w:start w:val="1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2"/>
    </w:lvl>
  </w:abstractNum>
  <w:abstractNum w:abstractNumId="14">
    <w:nsid w:val="7724C67E"/>
    <w:multiLevelType w:val="hybridMultilevel"/>
    <w:lvl w:ilvl="0">
      <w:lvlJc w:val="left"/>
      <w:lvlText w:val="%1."/>
      <w:numFmt w:val="decimal"/>
      <w:start w:val="13"/>
    </w:lvl>
  </w:abstractNum>
  <w:abstractNum w:abstractNumId="15">
    <w:nsid w:val="5C482A97"/>
    <w:multiLevelType w:val="hybridMultilevel"/>
    <w:lvl w:ilvl="0">
      <w:lvlJc w:val="left"/>
      <w:lvlText w:val="%1."/>
      <w:numFmt w:val="decimal"/>
      <w:start w:val="14"/>
    </w:lvl>
  </w:abstractNum>
  <w:abstractNum w:abstractNumId="16">
    <w:nsid w:val="2463B9EA"/>
    <w:multiLevelType w:val="hybridMultilevel"/>
    <w:lvl w:ilvl="0">
      <w:lvlJc w:val="left"/>
      <w:lvlText w:val="%1."/>
      <w:numFmt w:val="decimal"/>
      <w:start w:val="15"/>
    </w:lvl>
  </w:abstractNum>
  <w:abstractNum w:abstractNumId="17">
    <w:nsid w:val="5E884ADC"/>
    <w:multiLevelType w:val="hybridMultilevel"/>
    <w:lvl w:ilvl="0">
      <w:lvlJc w:val="left"/>
      <w:lvlText w:val="%1."/>
      <w:numFmt w:val="decimal"/>
      <w:start w:val="16"/>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01"/>
    </w:lvl>
  </w:abstractNum>
  <w:abstractNum w:abstractNumId="24">
    <w:nsid w:val="6A2342EC"/>
    <w:multiLevelType w:val="hybridMultilevel"/>
    <w:lvl w:ilvl="0">
      <w:lvlJc w:val="left"/>
      <w:lvlText w:val="%1"/>
      <w:numFmt w:val="decimal"/>
      <w:start w:val="104"/>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Letter"/>
      <w:start w:val="3"/>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2"/>
    </w:lvl>
  </w:abstractNum>
  <w:abstractNum w:abstractNumId="30">
    <w:nsid w:val="7A6D8D3C"/>
    <w:multiLevelType w:val="hybridMultilevel"/>
    <w:lvl w:ilvl="0">
      <w:lvlJc w:val="left"/>
      <w:lvlText w:val="%1."/>
      <w:numFmt w:val="upperLetter"/>
      <w:start w:val="1"/>
    </w:lvl>
  </w:abstractNum>
  <w:abstractNum w:abstractNumId="31">
    <w:nsid w:val="4B588F54"/>
    <w:multiLevelType w:val="hybridMultilevel"/>
    <w:lvl w:ilvl="0">
      <w:lvlJc w:val="left"/>
      <w:lvlText w:val="%1."/>
      <w:numFmt w:val="upperLetter"/>
      <w:start w:val="14"/>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decimal"/>
      <w:start w:val="3"/>
    </w:lvl>
  </w:abstractNum>
  <w:abstractNum w:abstractNumId="34">
    <w:nsid w:val="38437FDB"/>
    <w:multiLevelType w:val="hybridMultilevel"/>
    <w:lvl w:ilvl="0">
      <w:lvlJc w:val="left"/>
      <w:lvlText w:val="%1."/>
      <w:numFmt w:val="upperLetter"/>
      <w:start w:val="1"/>
    </w:lvl>
  </w:abstractNum>
  <w:abstractNum w:abstractNumId="35">
    <w:nsid w:val="7644A45C"/>
    <w:multiLevelType w:val="hybridMultilevel"/>
    <w:lvl w:ilvl="0">
      <w:lvlJc w:val="left"/>
      <w:lvlText w:val="%1"/>
      <w:numFmt w:val="decimal"/>
      <w:start w:val="1"/>
    </w:lvl>
    <w:lvl w:ilvl="1">
      <w:lvlJc w:val="left"/>
      <w:lvlText w:val="%2."/>
      <w:numFmt w:val="upperLetter"/>
      <w:start w:val="3"/>
    </w:lvl>
  </w:abstractNum>
  <w:abstractNum w:abstractNumId="36">
    <w:nsid w:val="32FFF902"/>
    <w:multiLevelType w:val="hybridMultilevel"/>
    <w:lvl w:ilvl="0">
      <w:lvlJc w:val="left"/>
      <w:lvlText w:val="%1."/>
      <w:numFmt w:val="decimal"/>
      <w:start w:val="4"/>
    </w:lvl>
    <w:lvl w:ilvl="1">
      <w:lvlJc w:val="left"/>
      <w:lvlText w:val="%2"/>
      <w:numFmt w:val="upperLetter"/>
      <w:start w:val="1"/>
    </w:lvl>
  </w:abstractNum>
  <w:abstractNum w:abstractNumId="37">
    <w:nsid w:val="684A481A"/>
    <w:multiLevelType w:val="hybridMultilevel"/>
    <w:lvl w:ilvl="0">
      <w:lvlJc w:val="left"/>
      <w:lvlText w:val="%1."/>
      <w:numFmt w:val="upperLetter"/>
      <w:start w:val="1"/>
    </w:lvl>
  </w:abstractNum>
  <w:abstractNum w:abstractNumId="38">
    <w:nsid w:val="579478FE"/>
    <w:multiLevelType w:val="hybridMultilevel"/>
    <w:lvl w:ilvl="0">
      <w:lvlJc w:val="left"/>
      <w:lvlText w:val="%1."/>
      <w:numFmt w:val="decimal"/>
      <w:start w:val="5"/>
    </w:lvl>
  </w:abstractNum>
  <w:abstractNum w:abstractNumId="39">
    <w:nsid w:val="749ABB43"/>
    <w:multiLevelType w:val="hybridMultilevel"/>
    <w:lvl w:ilvl="0">
      <w:lvlJc w:val="left"/>
      <w:lvlText w:val="%1."/>
      <w:numFmt w:val="upperLetter"/>
      <w:start w:val="1"/>
    </w:lvl>
  </w:abstractNum>
  <w:abstractNum w:abstractNumId="40">
    <w:nsid w:val="3DC240FB"/>
    <w:multiLevelType w:val="hybridMultilevel"/>
    <w:lvl w:ilvl="0">
      <w:lvlJc w:val="left"/>
      <w:lvlText w:val="%1."/>
      <w:numFmt w:val="upperLetter"/>
      <w:start w:val="6"/>
    </w:lvl>
  </w:abstractNum>
  <w:abstractNum w:abstractNumId="41">
    <w:nsid w:val="1BA026FA"/>
    <w:multiLevelType w:val="hybridMultilevel"/>
    <w:lvl w:ilvl="0">
      <w:lvlJc w:val="left"/>
      <w:lvlText w:val="%1."/>
      <w:numFmt w:val="upperLetter"/>
      <w:start w:val="1"/>
    </w:lvl>
    <w:lvl w:ilvl="1">
      <w:lvlJc w:val="left"/>
      <w:lvlText w:val="(%2)"/>
      <w:numFmt w:val="lowerLetter"/>
      <w:start w:val="1"/>
    </w:lvl>
  </w:abstractNum>
  <w:abstractNum w:abstractNumId="42">
    <w:nsid w:val="79A1DEAA"/>
    <w:multiLevelType w:val="hybridMultilevel"/>
    <w:lvl w:ilvl="0">
      <w:lvlJc w:val="left"/>
      <w:lvlText w:val="%1."/>
      <w:numFmt w:val="decimal"/>
      <w:start w:val="6"/>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decimal"/>
      <w:start w:val="7"/>
    </w:lvl>
  </w:abstractNum>
  <w:abstractNum w:abstractNumId="45">
    <w:nsid w:val="70C6A529"/>
    <w:multiLevelType w:val="hybridMultilevel"/>
    <w:lvl w:ilvl="0">
      <w:lvlJc w:val="left"/>
      <w:lvlText w:val="%1."/>
      <w:numFmt w:val="upperLetter"/>
      <w:start w:val="1"/>
    </w:lvl>
  </w:abstractNum>
  <w:abstractNum w:abstractNumId="46">
    <w:nsid w:val="520EEDD1"/>
    <w:multiLevelType w:val="hybridMultilevel"/>
    <w:lvl w:ilvl="0">
      <w:lvlJc w:val="left"/>
      <w:lvlText w:val="%1."/>
      <w:numFmt w:val="upperLetter"/>
      <w:start w:val="12"/>
    </w:lvl>
  </w:abstractNum>
  <w:abstractNum w:abstractNumId="47">
    <w:nsid w:val="374A3FE6"/>
    <w:multiLevelType w:val="hybridMultilevel"/>
    <w:lvl w:ilvl="0">
      <w:lvlJc w:val="left"/>
      <w:lvlText w:val="%1"/>
      <w:numFmt w:val="decimal"/>
      <w:start w:val="1"/>
    </w:lvl>
    <w:lvl w:ilvl="1">
      <w:lvlJc w:val="left"/>
      <w:lvlText w:val="%2."/>
      <w:numFmt w:val="upperLetter"/>
      <w:start w:val="1"/>
    </w:lvl>
  </w:abstractNum>
  <w:abstractNum w:abstractNumId="48">
    <w:nsid w:val="4F4EF005"/>
    <w:multiLevelType w:val="hybridMultilevel"/>
    <w:lvl w:ilvl="0">
      <w:lvlJc w:val="left"/>
      <w:lvlText w:val="%1."/>
      <w:numFmt w:val="decimal"/>
      <w:start w:val="8"/>
    </w:lvl>
    <w:lvl w:ilvl="1">
      <w:lvlJc w:val="left"/>
      <w:lvlText w:val="%2"/>
      <w:numFmt w:val="upperLetter"/>
      <w:start w:val="1"/>
    </w:lvl>
  </w:abstractNum>
  <w:abstractNum w:abstractNumId="49">
    <w:nsid w:val="23F9C13C"/>
    <w:multiLevelType w:val="hybridMultilevel"/>
    <w:lvl w:ilvl="0">
      <w:lvlJc w:val="left"/>
      <w:lvlText w:val="(%1)"/>
      <w:numFmt w:val="lowerLetter"/>
      <w:start w:val="2"/>
    </w:lvl>
  </w:abstractNum>
  <w:abstractNum w:abstractNumId="50">
    <w:nsid w:val="649BB77C"/>
    <w:multiLevelType w:val="hybridMultilevel"/>
    <w:lvl w:ilvl="0">
      <w:lvlJc w:val="left"/>
      <w:lvlText w:val="(%1)"/>
      <w:numFmt w:val="lowerLetter"/>
      <w:start w:val="4"/>
    </w:lvl>
  </w:abstractNum>
  <w:abstractNum w:abstractNumId="51">
    <w:nsid w:val="275AC794"/>
    <w:multiLevelType w:val="hybridMultilevel"/>
    <w:lvl w:ilvl="0">
      <w:lvlJc w:val="left"/>
      <w:lvlText w:val="%1."/>
      <w:numFmt w:val="decimal"/>
      <w:start w:val="9"/>
    </w:lvl>
  </w:abstractNum>
  <w:abstractNum w:abstractNumId="52">
    <w:nsid w:val="39386575"/>
    <w:multiLevelType w:val="hybridMultilevel"/>
    <w:lvl w:ilvl="0">
      <w:lvlJc w:val="left"/>
      <w:lvlText w:val="%1."/>
      <w:numFmt w:val="decimal"/>
      <w:start w:val="10"/>
    </w:lvl>
  </w:abstractNum>
  <w:abstractNum w:abstractNumId="53">
    <w:nsid w:val="1CF10FD8"/>
    <w:multiLevelType w:val="hybridMultilevel"/>
    <w:lvl w:ilvl="0">
      <w:lvlJc w:val="left"/>
      <w:lvlText w:val="%1."/>
      <w:numFmt w:val="decimal"/>
      <w:start w:val="11"/>
    </w:lvl>
  </w:abstractNum>
  <w:abstractNum w:abstractNumId="54">
    <w:nsid w:val="180115BE"/>
    <w:multiLevelType w:val="hybridMultilevel"/>
    <w:lvl w:ilvl="0">
      <w:lvlJc w:val="left"/>
      <w:lvlText w:val="%1."/>
      <w:numFmt w:val="decimal"/>
      <w:start w:val="2"/>
    </w:lvl>
  </w:abstractNum>
  <w:abstractNum w:abstractNumId="55">
    <w:nsid w:val="235BA861"/>
    <w:multiLevelType w:val="hybridMultilevel"/>
    <w:lvl w:ilvl="0">
      <w:lvlJc w:val="left"/>
      <w:lvlText w:val="%1."/>
      <w:numFmt w:val="upp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2023-04-13T07:06:04Z</dcterms:created>
  <dcterms:modified xsi:type="dcterms:W3CDTF">2023-04-13T07:06:04Z</dcterms:modified>
</cp:coreProperties>
</file>