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7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208915</wp:posOffset>
            </wp:positionV>
            <wp:extent cx="1835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500" w:right="480" w:hanging="480"/>
        <w:spacing w:after="0" w:line="236" w:lineRule="auto"/>
        <w:tabs>
          <w:tab w:leader="none" w:pos="5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November 30, 2008</w:t>
      </w:r>
    </w:p>
    <w:p>
      <w:pPr>
        <w:spacing w:after="0" w:line="214" w:lineRule="exact"/>
        <w:rPr>
          <w:sz w:val="24"/>
          <w:szCs w:val="24"/>
          <w:color w:val="auto"/>
        </w:rPr>
      </w:pPr>
    </w:p>
    <w:p>
      <w:pPr>
        <w:ind w:left="500" w:right="460" w:hanging="480"/>
        <w:spacing w:after="0" w:line="254" w:lineRule="auto"/>
        <w:tabs>
          <w:tab w:leader="none" w:pos="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3" w:lineRule="exact"/>
        <w:rPr>
          <w:sz w:val="24"/>
          <w:szCs w:val="24"/>
          <w:color w:val="auto"/>
        </w:rPr>
      </w:pPr>
    </w:p>
    <w:p>
      <w:pPr>
        <w:ind w:left="3560"/>
        <w:spacing w:after="0"/>
        <w:tabs>
          <w:tab w:leader="none" w:pos="662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221615</wp:posOffset>
            </wp:positionV>
            <wp:extent cx="1835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3"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233" w:right="239" w:bottom="0" w:gutter="0" w:footer="0" w:header="0"/>
          <w:type w:val="continuous"/>
        </w:sectPr>
      </w:pP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4201 Woodland Rd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Circle Pines, Minnesota 55014</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9" w:lineRule="exact"/>
        <w:rPr>
          <w:sz w:val="24"/>
          <w:szCs w:val="24"/>
          <w:color w:val="auto"/>
        </w:rPr>
      </w:pPr>
    </w:p>
    <w:p>
      <w:pPr>
        <w:jc w:val="both"/>
        <w:ind w:right="280" w:firstLine="645"/>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209" w:lineRule="exact"/>
        <w:rPr>
          <w:sz w:val="24"/>
          <w:szCs w:val="24"/>
          <w:color w:val="auto"/>
        </w:rPr>
      </w:pPr>
    </w:p>
    <w:p>
      <w:pPr>
        <w:ind w:left="8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ind w:left="80"/>
        <w:spacing w:after="0"/>
        <w:rPr>
          <w:sz w:val="20"/>
          <w:szCs w:val="20"/>
          <w:color w:val="auto"/>
        </w:rPr>
      </w:pPr>
      <w:r>
        <w:rPr>
          <w:rFonts w:ascii="Arial" w:cs="Arial" w:eastAsia="Arial" w:hAnsi="Arial"/>
          <w:sz w:val="16"/>
          <w:szCs w:val="16"/>
          <w:color w:val="auto"/>
        </w:rPr>
        <w:t>Non-accelerated filer (Do not check if a smaller reporting company) o</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14" w:lineRule="exact"/>
        <w:rPr>
          <w:sz w:val="24"/>
          <w:szCs w:val="24"/>
          <w:color w:val="auto"/>
        </w:rPr>
      </w:pPr>
    </w:p>
    <w:p>
      <w:pPr>
        <w:sectPr>
          <w:pgSz w:w="11900" w:h="16838" w:orient="portrait"/>
          <w:cols w:equalWidth="0" w:num="3">
            <w:col w:w="6940" w:space="720"/>
            <w:col w:w="1960" w:space="100"/>
            <w:col w:w="1700"/>
          </w:cols>
          <w:pgMar w:left="240" w:top="233" w:right="239" w:bottom="0" w:gutter="0" w:footer="0" w:header="0"/>
          <w:type w:val="continuous"/>
        </w:sectPr>
      </w:pPr>
    </w:p>
    <w:p>
      <w:pPr>
        <w:spacing w:after="0" w:line="32"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January 14, 2009, 3,750,970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7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2472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430530</wp:posOffset>
            </wp:positionV>
            <wp:extent cx="726821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30, 2008</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83"/>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4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300" w:type="dxa"/>
            <w:vAlign w:val="bottom"/>
          </w:tcPr>
          <w:p>
            <w:pPr>
              <w:spacing w:after="0"/>
              <w:rPr>
                <w:sz w:val="24"/>
                <w:szCs w:val="24"/>
                <w:color w:val="auto"/>
              </w:rPr>
            </w:pPr>
          </w:p>
        </w:tc>
      </w:tr>
      <w:tr>
        <w:trPr>
          <w:trHeight w:val="4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tcBorders>
              <w:top w:val="single" w:sz="8" w:color="0000EE"/>
            </w:tcBorders>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4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as of November 30, 2008 (unaudited) and August 31, 2008</w:t>
              </w:r>
            </w:hyperlink>
          </w:p>
        </w:tc>
        <w:tc>
          <w:tcPr>
            <w:tcW w:w="33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(unaudited) for the Three Months Ended November 30, 2008 and 2007</w:t>
              </w:r>
            </w:hyperlink>
          </w:p>
        </w:tc>
        <w:tc>
          <w:tcPr>
            <w:tcW w:w="940" w:type="dxa"/>
            <w:vAlign w:val="bottom"/>
            <w:gridSpan w:val="2"/>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Cash Flows (unaudited) for the Three Months Ended November 30, 2008 and 2007</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80" w:type="dxa"/>
            <w:vAlign w:val="bottom"/>
            <w:tcBorders>
              <w:top w:val="single" w:sz="8" w:color="0000EE"/>
            </w:tcBorders>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Consolidated Financial Statements (unaudited)</w:t>
              </w:r>
            </w:hyperlink>
          </w:p>
        </w:tc>
        <w:tc>
          <w:tcPr>
            <w:tcW w:w="9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4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9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2.</w:t>
              </w:r>
            </w:hyperlink>
          </w:p>
        </w:tc>
        <w:tc>
          <w:tcPr>
            <w:tcW w:w="4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Management’s Discussion and Analysis of Financial Condition and Results of Operations</w:t>
              </w:r>
            </w:hyperlink>
          </w:p>
        </w:tc>
        <w:tc>
          <w:tcPr>
            <w:tcW w:w="262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3.</w:t>
              </w:r>
            </w:hyperlink>
          </w:p>
        </w:tc>
        <w:tc>
          <w:tcPr>
            <w:tcW w:w="4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Quantitative and Qualitative Disclosures About Market Risk</w:t>
              </w:r>
            </w:hyperlink>
          </w:p>
        </w:tc>
        <w:tc>
          <w:tcPr>
            <w:tcW w:w="4700" w:type="dxa"/>
            <w:vAlign w:val="bottom"/>
            <w:gridSpan w:val="4"/>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0"/>
        </w:trPr>
        <w:tc>
          <w:tcPr>
            <w:tcW w:w="520" w:type="dxa"/>
            <w:vAlign w:val="bottom"/>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4.</w:t>
              </w:r>
            </w:hyperlink>
          </w:p>
        </w:tc>
        <w:tc>
          <w:tcPr>
            <w:tcW w:w="4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906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Controls and Procedures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0"/>
        </w:trPr>
        <w:tc>
          <w:tcPr>
            <w:tcW w:w="1000" w:type="dxa"/>
            <w:vAlign w:val="bottom"/>
            <w:gridSpan w:val="4"/>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w:t>
              </w:r>
            </w:hyperlink>
          </w:p>
        </w:tc>
        <w:tc>
          <w:tcPr>
            <w:tcW w:w="9340" w:type="dxa"/>
            <w:vAlign w:val="bottom"/>
            <w:gridSpan w:val="19"/>
          </w:tcPr>
          <w:p>
            <w:pPr>
              <w:ind w:left="280"/>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OTHER INFORMATION</w:t>
              </w:r>
            </w:hyperlink>
          </w:p>
        </w:tc>
        <w:tc>
          <w:tcPr>
            <w:tcW w:w="1080" w:type="dxa"/>
            <w:vAlign w:val="bottom"/>
          </w:tcPr>
          <w:p>
            <w:pPr>
              <w:spacing w:after="0"/>
              <w:rPr>
                <w:sz w:val="24"/>
                <w:szCs w:val="24"/>
                <w:color w:val="auto"/>
              </w:rPr>
            </w:pPr>
          </w:p>
        </w:tc>
      </w:tr>
      <w:tr>
        <w:trPr>
          <w:trHeight w:val="4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7040" w:type="dxa"/>
            <w:vAlign w:val="bottom"/>
            <w:gridSpan w:val="9"/>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0"/>
        </w:trPr>
        <w:tc>
          <w:tcPr>
            <w:tcW w:w="1000" w:type="dxa"/>
            <w:vAlign w:val="bottom"/>
            <w:gridSpan w:val="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1A.</w:t>
              </w:r>
            </w:hyperlink>
          </w:p>
        </w:tc>
        <w:tc>
          <w:tcPr>
            <w:tcW w:w="9340" w:type="dxa"/>
            <w:vAlign w:val="bottom"/>
            <w:gridSpan w:val="19"/>
          </w:tcPr>
          <w:p>
            <w:pPr>
              <w:ind w:left="280"/>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Unregistered Sales of Equity Securities and Use of Proceeds</w:t>
              </w:r>
            </w:hyperlink>
          </w:p>
        </w:tc>
        <w:tc>
          <w:tcPr>
            <w:tcW w:w="472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3.</w:t>
              </w:r>
            </w:hyperlink>
          </w:p>
        </w:tc>
        <w:tc>
          <w:tcPr>
            <w:tcW w:w="4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Defaults Upon Senior Securities</w:t>
              </w:r>
            </w:hyperlink>
          </w:p>
        </w:tc>
        <w:tc>
          <w:tcPr>
            <w:tcW w:w="6740" w:type="dxa"/>
            <w:vAlign w:val="bottom"/>
            <w:gridSpan w:val="8"/>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4.</w:t>
              </w:r>
            </w:hyperlink>
          </w:p>
        </w:tc>
        <w:tc>
          <w:tcPr>
            <w:tcW w:w="4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Submission of Matters to a Vote of Security Holders</w:t>
              </w:r>
            </w:hyperlink>
          </w:p>
        </w:tc>
        <w:tc>
          <w:tcPr>
            <w:tcW w:w="5300" w:type="dxa"/>
            <w:vAlign w:val="bottom"/>
            <w:gridSpan w:val="7"/>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5.</w:t>
              </w:r>
            </w:hyperlink>
          </w:p>
        </w:tc>
        <w:tc>
          <w:tcPr>
            <w:tcW w:w="4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Other Information</w:t>
              </w:r>
            </w:hyperlink>
          </w:p>
        </w:tc>
        <w:tc>
          <w:tcPr>
            <w:tcW w:w="7740" w:type="dxa"/>
            <w:vAlign w:val="bottom"/>
            <w:gridSpan w:val="1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0"/>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6.</w:t>
              </w:r>
            </w:hyperlink>
          </w:p>
        </w:tc>
        <w:tc>
          <w:tcPr>
            <w:tcW w:w="4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9060" w:type="dxa"/>
            <w:vAlign w:val="bottom"/>
            <w:gridSpan w:val="1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Exhibits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60" w:type="dxa"/>
            <w:vAlign w:val="bottom"/>
            <w:gridSpan w:val="1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0"/>
        </w:trPr>
        <w:tc>
          <w:tcPr>
            <w:tcW w:w="10340" w:type="dxa"/>
            <w:vAlign w:val="bottom"/>
            <w:gridSpan w:val="23"/>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SIGNATURE PAGE</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0"/>
        </w:trPr>
        <w:tc>
          <w:tcPr>
            <w:tcW w:w="140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EXHIBIT INDEX</w:t>
              </w:r>
            </w:hyperlink>
          </w:p>
        </w:tc>
        <w:tc>
          <w:tcPr>
            <w:tcW w:w="180" w:type="dxa"/>
            <w:vAlign w:val="bottom"/>
            <w:tcBorders>
              <w:top w:val="single" w:sz="8" w:color="0000EE"/>
            </w:tcBorders>
            <w:gridSpan w:val="2"/>
          </w:tcPr>
          <w:p>
            <w:pPr>
              <w:spacing w:after="0"/>
              <w:rPr>
                <w:sz w:val="24"/>
                <w:szCs w:val="24"/>
                <w:color w:val="auto"/>
              </w:rPr>
            </w:pPr>
          </w:p>
        </w:tc>
        <w:tc>
          <w:tcPr>
            <w:tcW w:w="8760" w:type="dxa"/>
            <w:vAlign w:val="bottom"/>
            <w:gridSpan w:val="1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2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 Forward-Looking Statements.”</w:t>
      </w:r>
    </w:p>
    <w:p>
      <w:pPr>
        <w:spacing w:after="0" w:line="18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23" w:lineRule="exact"/>
        <w:rPr>
          <w:sz w:val="20"/>
          <w:szCs w:val="20"/>
          <w:color w:val="auto"/>
        </w:rPr>
      </w:pPr>
    </w:p>
    <w:p>
      <w:pPr>
        <w:ind w:right="460"/>
        <w:spacing w:after="0" w:line="280"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AS OF NOVEMBER 30, 2008 (UNAUDITED) AND AUGUST 31, 2008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30,</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8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195"/>
        </w:trPr>
        <w:tc>
          <w:tcPr>
            <w:tcW w:w="82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2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456,505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260,460</w:t>
            </w: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2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Trade excluding corporate joint ventures, less allowance for doubtful accounts of $10,000 at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November 30, 2008 and August 31, 2008</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1,987,691</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1,962,222</w:t>
            </w:r>
          </w:p>
        </w:tc>
      </w:tr>
      <w:tr>
        <w:trPr>
          <w:trHeight w:val="215"/>
        </w:trPr>
        <w:tc>
          <w:tcPr>
            <w:tcW w:w="8240" w:type="dxa"/>
            <w:vAlign w:val="bottom"/>
          </w:tcPr>
          <w:p>
            <w:pPr>
              <w:ind w:left="540"/>
              <w:spacing w:after="0"/>
              <w:rPr>
                <w:sz w:val="20"/>
                <w:szCs w:val="20"/>
                <w:color w:val="auto"/>
              </w:rPr>
            </w:pPr>
            <w:r>
              <w:rPr>
                <w:rFonts w:ascii="Arial" w:cs="Arial" w:eastAsia="Arial" w:hAnsi="Arial"/>
                <w:sz w:val="18"/>
                <w:szCs w:val="18"/>
                <w:color w:val="auto"/>
              </w:rPr>
              <w:t>Trade corporate joint ventures</w:t>
            </w:r>
          </w:p>
        </w:tc>
        <w:tc>
          <w:tcPr>
            <w:tcW w:w="2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918,010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530,609</w:t>
            </w:r>
          </w:p>
        </w:tc>
      </w:tr>
      <w:tr>
        <w:trPr>
          <w:trHeight w:val="215"/>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Technical and other services, corporate joint ventures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2,161,149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3,065,738</w:t>
            </w:r>
          </w:p>
        </w:tc>
      </w:tr>
      <w:tr>
        <w:trPr>
          <w:trHeight w:val="215"/>
        </w:trPr>
        <w:tc>
          <w:tcPr>
            <w:tcW w:w="8240" w:type="dxa"/>
            <w:vAlign w:val="bottom"/>
          </w:tcPr>
          <w:p>
            <w:pPr>
              <w:ind w:left="5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133,405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28,961</w:t>
            </w: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2,429,244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2,725,466</w:t>
            </w: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365,175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179,766</w:t>
            </w: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183,300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183,300</w:t>
            </w:r>
          </w:p>
        </w:tc>
      </w:tr>
      <w:tr>
        <w:trPr>
          <w:trHeight w:val="209"/>
        </w:trPr>
        <w:tc>
          <w:tcPr>
            <w:tcW w:w="82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8,634,479</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8,936,522</w:t>
            </w:r>
          </w:p>
        </w:tc>
        <w:tc>
          <w:tcPr>
            <w:tcW w:w="100" w:type="dxa"/>
            <w:vAlign w:val="bottom"/>
            <w:tcBorders>
              <w:bottom w:val="single" w:sz="8" w:color="CCEEFF"/>
            </w:tcBorders>
          </w:tcPr>
          <w:p>
            <w:pPr>
              <w:spacing w:after="0"/>
              <w:rPr>
                <w:sz w:val="18"/>
                <w:szCs w:val="18"/>
                <w:color w:val="auto"/>
              </w:rPr>
            </w:pPr>
          </w:p>
        </w:tc>
      </w:tr>
      <w:tr>
        <w:trPr>
          <w:trHeight w:val="209"/>
        </w:trPr>
        <w:tc>
          <w:tcPr>
            <w:tcW w:w="8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2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3,737,362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3,754,565</w:t>
            </w:r>
          </w:p>
        </w:tc>
      </w:tr>
      <w:tr>
        <w:trPr>
          <w:trHeight w:val="209"/>
        </w:trPr>
        <w:tc>
          <w:tcPr>
            <w:tcW w:w="8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2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corporate joint ventures: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0"/>
        </w:trPr>
        <w:tc>
          <w:tcPr>
            <w:tcW w:w="82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Industrial chemical</w:t>
            </w: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12,743,214</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15,676,876</w:t>
            </w:r>
          </w:p>
        </w:tc>
      </w:tr>
    </w:tbl>
    <w:p>
      <w:pPr>
        <w:sectPr>
          <w:pgSz w:w="11900" w:h="16900" w:orient="portrait"/>
          <w:cols w:equalWidth="0" w:num="1">
            <w:col w:w="11420"/>
          </w:cols>
          <w:pgMar w:left="240" w:top="107" w:right="239" w:bottom="0" w:gutter="0" w:footer="0" w:header="0"/>
        </w:sectPr>
      </w:pPr>
    </w:p>
    <w:bookmarkStart w:id="2" w:name="page3"/>
    <w:bookmarkEnd w:id="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Industrial non-chemical</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296,630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339,471</w:t>
            </w: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837,300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837,300</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w:t>
            </w: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Industrial patents and trademarks, net</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997,355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1,015,321</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304,000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304,000</w:t>
            </w: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320,886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325,557</w:t>
            </w:r>
          </w:p>
        </w:tc>
        <w:tc>
          <w:tcPr>
            <w:tcW w:w="80" w:type="dxa"/>
            <w:vAlign w:val="bottom"/>
          </w:tcPr>
          <w:p>
            <w:pPr>
              <w:spacing w:after="0"/>
              <w:rPr>
                <w:sz w:val="18"/>
                <w:szCs w:val="18"/>
                <w:color w:val="auto"/>
              </w:rPr>
            </w:pPr>
          </w:p>
        </w:tc>
      </w:tr>
      <w:tr>
        <w:trPr>
          <w:trHeight w:val="209"/>
        </w:trPr>
        <w:tc>
          <w:tcPr>
            <w:tcW w:w="8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15,639,385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18,638,525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9"/>
        </w:trPr>
        <w:tc>
          <w:tcPr>
            <w:tcW w:w="8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28,011,226</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31,329,612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5"/>
        </w:trPr>
        <w:tc>
          <w:tcPr>
            <w:tcW w:w="8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5"/>
        </w:trPr>
        <w:tc>
          <w:tcPr>
            <w:tcW w:w="82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Bank overdrafts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1,039,757</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made on line of credit</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86,000</w:t>
            </w: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Current portion of note payable</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33,015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31,556</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1,263,602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1,251,522</w:t>
            </w: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Payroll and related benefits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266,731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1,102,992</w:t>
            </w: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540"/>
              <w:spacing w:after="0"/>
              <w:rPr>
                <w:sz w:val="20"/>
                <w:szCs w:val="20"/>
                <w:color w:val="auto"/>
              </w:rPr>
            </w:pPr>
            <w:r>
              <w:rPr>
                <w:rFonts w:ascii="Arial" w:cs="Arial" w:eastAsia="Arial" w:hAnsi="Arial"/>
                <w:sz w:val="18"/>
                <w:szCs w:val="18"/>
                <w:color w:val="auto"/>
              </w:rPr>
              <w:t>Deferred joint venture royalties</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288,000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288,000</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157,188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195,324</w:t>
            </w:r>
          </w:p>
        </w:tc>
        <w:tc>
          <w:tcPr>
            <w:tcW w:w="80" w:type="dxa"/>
            <w:vAlign w:val="bottom"/>
            <w:shd w:val="clear" w:color="auto" w:fill="CCEEFF"/>
          </w:tcPr>
          <w:p>
            <w:pPr>
              <w:spacing w:after="0"/>
              <w:rPr>
                <w:sz w:val="18"/>
                <w:szCs w:val="18"/>
                <w:color w:val="auto"/>
              </w:rPr>
            </w:pPr>
          </w:p>
        </w:tc>
      </w:tr>
      <w:tr>
        <w:trPr>
          <w:trHeight w:val="209"/>
        </w:trPr>
        <w:tc>
          <w:tcPr>
            <w:tcW w:w="82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2,008,536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3,995,151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180"/>
              <w:spacing w:after="0"/>
              <w:rPr>
                <w:sz w:val="20"/>
                <w:szCs w:val="20"/>
                <w:color w:val="auto"/>
              </w:rPr>
            </w:pPr>
            <w:r>
              <w:rPr>
                <w:rFonts w:ascii="Arial" w:cs="Arial" w:eastAsia="Arial" w:hAnsi="Arial"/>
                <w:sz w:val="18"/>
                <w:szCs w:val="18"/>
                <w:color w:val="auto"/>
              </w:rPr>
              <w:t>NOTE PAYABLE, NET OF CURRENT PORTION</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1,171,472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1,179,972</w:t>
            </w:r>
          </w:p>
        </w:tc>
        <w:tc>
          <w:tcPr>
            <w:tcW w:w="80" w:type="dxa"/>
            <w:vAlign w:val="bottom"/>
          </w:tcPr>
          <w:p>
            <w:pPr>
              <w:spacing w:after="0"/>
              <w:rPr>
                <w:sz w:val="18"/>
                <w:szCs w:val="18"/>
                <w:color w:val="auto"/>
              </w:rPr>
            </w:pPr>
          </w:p>
        </w:tc>
      </w:tr>
      <w:tr>
        <w:trPr>
          <w:trHeight w:val="209"/>
        </w:trPr>
        <w:tc>
          <w:tcPr>
            <w:tcW w:w="8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MINORITY INTEREST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$0.02 par value per share; authorized 10,000,000 shares; issued and outstanding</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3,750,970 and 3,729,457, respectively</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74,986</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74,556</w:t>
            </w:r>
          </w:p>
        </w:tc>
        <w:tc>
          <w:tcPr>
            <w:tcW w:w="80" w:type="dxa"/>
            <w:vAlign w:val="bottom"/>
            <w:shd w:val="clear" w:color="auto" w:fill="CCEEFF"/>
          </w:tcPr>
          <w:p>
            <w:pPr>
              <w:spacing w:after="0"/>
              <w:rPr>
                <w:sz w:val="19"/>
                <w:szCs w:val="19"/>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5,522,948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5,271,417</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18,685,824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18,672,938</w:t>
            </w: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553,222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2,132,180</w:t>
            </w:r>
          </w:p>
        </w:tc>
        <w:tc>
          <w:tcPr>
            <w:tcW w:w="80" w:type="dxa"/>
            <w:vAlign w:val="bottom"/>
          </w:tcPr>
          <w:p>
            <w:pPr>
              <w:spacing w:after="0"/>
              <w:rPr>
                <w:sz w:val="18"/>
                <w:szCs w:val="18"/>
                <w:color w:val="auto"/>
              </w:rPr>
            </w:pPr>
          </w:p>
        </w:tc>
      </w:tr>
      <w:tr>
        <w:trPr>
          <w:trHeight w:val="209"/>
        </w:trPr>
        <w:tc>
          <w:tcPr>
            <w:tcW w:w="82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24,836,980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26,151,091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2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28,011,226</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31,329,612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100"/>
        <w:spacing w:after="0" w:line="260"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w:t>
      </w:r>
    </w:p>
    <w:p>
      <w:pPr>
        <w:spacing w:after="0"/>
        <w:rPr>
          <w:sz w:val="20"/>
          <w:szCs w:val="20"/>
          <w:color w:val="auto"/>
        </w:rPr>
      </w:pPr>
      <w:r>
        <w:rPr>
          <w:rFonts w:ascii="Arial" w:cs="Arial" w:eastAsia="Arial" w:hAnsi="Arial"/>
          <w:sz w:val="18"/>
          <w:szCs w:val="18"/>
          <w:b w:val="1"/>
          <w:bCs w:val="1"/>
          <w:color w:val="auto"/>
        </w:rPr>
        <w:t>THREE MONTHS ENDED NOVEMBER 30, 2008 AND 2007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November 30,</w:t>
            </w:r>
          </w:p>
        </w:tc>
      </w:tr>
      <w:tr>
        <w:trPr>
          <w:trHeight w:val="171"/>
        </w:trPr>
        <w:tc>
          <w:tcPr>
            <w:tcW w:w="8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r>
      <w:tr>
        <w:trPr>
          <w:trHeight w:val="195"/>
        </w:trPr>
        <w:tc>
          <w:tcPr>
            <w:tcW w:w="8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NORTH AMERICAN OPERATIONS: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3,270,944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3,485,585</w:t>
            </w:r>
          </w:p>
        </w:tc>
      </w:tr>
      <w:tr>
        <w:trPr>
          <w:trHeight w:val="215"/>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2,292,967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7"/>
                <w:szCs w:val="17"/>
                <w:color w:val="auto"/>
              </w:rPr>
              <w:t>093,691</w:t>
            </w:r>
          </w:p>
        </w:tc>
      </w:tr>
      <w:tr>
        <w:trPr>
          <w:trHeight w:val="209"/>
        </w:trPr>
        <w:tc>
          <w:tcPr>
            <w:tcW w:w="830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977,977</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391,894</w:t>
            </w:r>
          </w:p>
        </w:tc>
        <w:tc>
          <w:tcPr>
            <w:tcW w:w="100" w:type="dxa"/>
            <w:vAlign w:val="bottom"/>
          </w:tcPr>
          <w:p>
            <w:pPr>
              <w:spacing w:after="0"/>
              <w:rPr>
                <w:sz w:val="18"/>
                <w:szCs w:val="18"/>
                <w:color w:val="auto"/>
              </w:rPr>
            </w:pPr>
          </w:p>
        </w:tc>
      </w:tr>
      <w:tr>
        <w:trPr>
          <w:trHeight w:val="215"/>
        </w:trPr>
        <w:tc>
          <w:tcPr>
            <w:tcW w:w="8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Selling</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770,570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859,644</w:t>
            </w:r>
          </w:p>
        </w:tc>
      </w:tr>
      <w:tr>
        <w:trPr>
          <w:trHeight w:val="215"/>
        </w:trPr>
        <w:tc>
          <w:tcPr>
            <w:tcW w:w="8300" w:type="dxa"/>
            <w:vAlign w:val="bottom"/>
          </w:tcPr>
          <w:p>
            <w:pPr>
              <w:ind w:left="5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941,438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948,297</w:t>
            </w:r>
          </w:p>
        </w:tc>
      </w:tr>
      <w:tr>
        <w:trPr>
          <w:trHeight w:val="215"/>
        </w:trPr>
        <w:tc>
          <w:tcPr>
            <w:tcW w:w="8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Lab and technical support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57,128</w:t>
            </w:r>
          </w:p>
        </w:tc>
      </w:tr>
      <w:tr>
        <w:trPr>
          <w:trHeight w:val="209"/>
        </w:trPr>
        <w:tc>
          <w:tcPr>
            <w:tcW w:w="8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1,718,075</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1,865,069</w:t>
            </w:r>
          </w:p>
        </w:tc>
        <w:tc>
          <w:tcPr>
            <w:tcW w:w="100" w:type="dxa"/>
            <w:vAlign w:val="bottom"/>
            <w:tcBorders>
              <w:bottom w:val="single" w:sz="8" w:color="CCEEFF"/>
            </w:tcBorders>
          </w:tcPr>
          <w:p>
            <w:pPr>
              <w:spacing w:after="0"/>
              <w:rPr>
                <w:sz w:val="18"/>
                <w:szCs w:val="18"/>
                <w:color w:val="auto"/>
              </w:rPr>
            </w:pPr>
          </w:p>
        </w:tc>
      </w:tr>
      <w:tr>
        <w:trPr>
          <w:trHeight w:val="209"/>
        </w:trPr>
        <w:tc>
          <w:tcPr>
            <w:tcW w:w="8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NORTH AMERICAN OPERATING LOSS</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(740,098)</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(473,175)</w:t>
            </w:r>
          </w:p>
        </w:tc>
      </w:tr>
      <w:tr>
        <w:trPr>
          <w:trHeight w:val="215"/>
        </w:trPr>
        <w:tc>
          <w:tcPr>
            <w:tcW w:w="8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CORPORATE JOINT VENTURES AND HOLDING COMPANIES: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income of industrial chemical corporate joint ventures and holding companies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655,532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1,073,034</w:t>
            </w:r>
          </w:p>
        </w:tc>
      </w:tr>
      <w:tr>
        <w:trPr>
          <w:trHeight w:val="215"/>
        </w:trPr>
        <w:tc>
          <w:tcPr>
            <w:tcW w:w="8300" w:type="dxa"/>
            <w:vAlign w:val="bottom"/>
          </w:tcPr>
          <w:p>
            <w:pPr>
              <w:ind w:left="360"/>
              <w:spacing w:after="0"/>
              <w:rPr>
                <w:sz w:val="20"/>
                <w:szCs w:val="20"/>
                <w:color w:val="auto"/>
              </w:rPr>
            </w:pPr>
            <w:r>
              <w:rPr>
                <w:rFonts w:ascii="Arial" w:cs="Arial" w:eastAsia="Arial" w:hAnsi="Arial"/>
                <w:sz w:val="18"/>
                <w:szCs w:val="18"/>
                <w:color w:val="auto"/>
              </w:rPr>
              <w:t>Equity in income (loss) of industrial non-chemical corporate joint ventures and holding companies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(18,352)</w:t>
            </w:r>
          </w:p>
        </w:tc>
      </w:tr>
      <w:tr>
        <w:trPr>
          <w:trHeight w:val="215"/>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Fees for technical support and other services provided to corporate joint ventures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1,320,719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1,393,795</w:t>
            </w:r>
          </w:p>
        </w:tc>
      </w:tr>
      <w:tr>
        <w:trPr>
          <w:trHeight w:val="215"/>
        </w:trPr>
        <w:tc>
          <w:tcPr>
            <w:tcW w:w="8300" w:type="dxa"/>
            <w:vAlign w:val="bottom"/>
          </w:tcPr>
          <w:p>
            <w:pPr>
              <w:ind w:left="360"/>
              <w:spacing w:after="0"/>
              <w:rPr>
                <w:sz w:val="20"/>
                <w:szCs w:val="20"/>
                <w:color w:val="auto"/>
              </w:rPr>
            </w:pPr>
            <w:r>
              <w:rPr>
                <w:rFonts w:ascii="Arial" w:cs="Arial" w:eastAsia="Arial" w:hAnsi="Arial"/>
                <w:sz w:val="18"/>
                <w:szCs w:val="18"/>
                <w:color w:val="auto"/>
              </w:rPr>
              <w:t>Expenses incurred in support of corporate joint ventures</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(1,178,034)</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(1,239,175)</w:t>
            </w:r>
          </w:p>
        </w:tc>
      </w:tr>
      <w:tr>
        <w:trPr>
          <w:trHeight w:val="209"/>
        </w:trPr>
        <w:tc>
          <w:tcPr>
            <w:tcW w:w="8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INCOME FROM ALL CORPORATE JOINT VENTURES AND HOLDING COMPANIES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801,451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1,209,302</w:t>
            </w:r>
          </w:p>
        </w:tc>
      </w:tr>
      <w:tr>
        <w:trPr>
          <w:trHeight w:val="215"/>
        </w:trPr>
        <w:tc>
          <w:tcPr>
            <w:tcW w:w="8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15"/>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(31,898)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(31,523)</w:t>
            </w: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6,826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7,930</w:t>
            </w:r>
          </w:p>
        </w:tc>
      </w:tr>
      <w:tr>
        <w:trPr>
          <w:trHeight w:val="215"/>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w:t>
            </w: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MINORITY INTEREST</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9,160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21,638</w:t>
            </w:r>
          </w:p>
        </w:tc>
      </w:tr>
      <w:tr>
        <w:trPr>
          <w:trHeight w:val="209"/>
        </w:trPr>
        <w:tc>
          <w:tcPr>
            <w:tcW w:w="8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45,886</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736,196</w:t>
            </w:r>
          </w:p>
        </w:tc>
      </w:tr>
      <w:tr>
        <w:trPr>
          <w:trHeight w:val="215"/>
        </w:trPr>
        <w:tc>
          <w:tcPr>
            <w:tcW w:w="8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75"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33,000</w:t>
            </w:r>
          </w:p>
        </w:tc>
        <w:tc>
          <w:tcPr>
            <w:tcW w:w="3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3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12,886</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658,196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3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0.00</w:t>
            </w:r>
          </w:p>
        </w:tc>
        <w:tc>
          <w:tcPr>
            <w:tcW w:w="2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0.18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3,735,433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3,692,153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3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3,770,572</w:t>
            </w:r>
          </w:p>
        </w:tc>
        <w:tc>
          <w:tcPr>
            <w:tcW w:w="28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3,734,102</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w:t>
      </w:r>
    </w:p>
    <w:p>
      <w:pPr>
        <w:spacing w:after="0"/>
        <w:rPr>
          <w:sz w:val="20"/>
          <w:szCs w:val="20"/>
          <w:color w:val="auto"/>
        </w:rPr>
      </w:pPr>
      <w:r>
        <w:rPr>
          <w:rFonts w:ascii="Arial" w:cs="Arial" w:eastAsia="Arial" w:hAnsi="Arial"/>
          <w:sz w:val="18"/>
          <w:szCs w:val="18"/>
          <w:b w:val="1"/>
          <w:bCs w:val="1"/>
          <w:color w:val="auto"/>
        </w:rPr>
        <w:t>THREE MONTHS ENDED NOVEMBER 30, 2008 AND 2007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November 30,</w:t>
            </w:r>
          </w:p>
        </w:tc>
        <w:tc>
          <w:tcPr>
            <w:tcW w:w="16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12,886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658,196</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8"/>
                <w:szCs w:val="18"/>
                <w:color w:val="auto"/>
              </w:rPr>
              <w:t>Expensing of fair value of stock options vested</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24,680</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97,818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77,309</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38,633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35,384</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assets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8"/>
                <w:szCs w:val="18"/>
                <w:color w:val="auto"/>
              </w:rPr>
              <w:t>Minority interest</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(9,160)</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(21,637)</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(income) loss from corporate joint ventures: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540"/>
              <w:spacing w:after="0"/>
              <w:rPr>
                <w:sz w:val="20"/>
                <w:szCs w:val="20"/>
                <w:color w:val="auto"/>
              </w:rPr>
            </w:pPr>
            <w:r>
              <w:rPr>
                <w:rFonts w:ascii="Arial" w:cs="Arial" w:eastAsia="Arial" w:hAnsi="Arial"/>
                <w:sz w:val="18"/>
                <w:szCs w:val="18"/>
                <w:color w:val="auto"/>
              </w:rPr>
              <w:t>Industrial chemical</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(655,532)</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(1,073,034)</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Industrial non-chemical</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18,352</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8"/>
                <w:szCs w:val="18"/>
                <w:color w:val="auto"/>
              </w:rPr>
              <w:t>Deferred joint venture royalties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current assets and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54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excluding corporate joint ventures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(218,870)</w:t>
            </w:r>
          </w:p>
        </w:tc>
        <w:tc>
          <w:tcPr>
            <w:tcW w:w="0" w:type="dxa"/>
            <w:vAlign w:val="bottom"/>
          </w:tcPr>
          <w:p>
            <w:pPr>
              <w:spacing w:after="0"/>
              <w:rPr>
                <w:sz w:val="1"/>
                <w:szCs w:val="1"/>
                <w:color w:val="auto"/>
              </w:rPr>
            </w:pPr>
          </w:p>
        </w:tc>
      </w:tr>
      <w:tr>
        <w:trPr>
          <w:trHeight w:val="215"/>
        </w:trPr>
        <w:tc>
          <w:tcPr>
            <w:tcW w:w="8300" w:type="dxa"/>
            <w:vAlign w:val="bottom"/>
          </w:tcPr>
          <w:p>
            <w:pPr>
              <w:ind w:left="720"/>
              <w:spacing w:after="0"/>
              <w:rPr>
                <w:sz w:val="20"/>
                <w:szCs w:val="20"/>
                <w:color w:val="auto"/>
              </w:rPr>
            </w:pPr>
            <w:r>
              <w:rPr>
                <w:rFonts w:ascii="Arial" w:cs="Arial" w:eastAsia="Arial" w:hAnsi="Arial"/>
                <w:sz w:val="18"/>
                <w:szCs w:val="18"/>
                <w:color w:val="auto"/>
              </w:rPr>
              <w:t>Trade corporate joint ventures</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(387,401)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114,767</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904,589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(236,096)</w:t>
            </w:r>
          </w:p>
        </w:tc>
        <w:tc>
          <w:tcPr>
            <w:tcW w:w="0" w:type="dxa"/>
            <w:vAlign w:val="bottom"/>
          </w:tcPr>
          <w:p>
            <w:pPr>
              <w:spacing w:after="0"/>
              <w:rPr>
                <w:sz w:val="1"/>
                <w:szCs w:val="1"/>
                <w:color w:val="auto"/>
              </w:rPr>
            </w:pPr>
          </w:p>
        </w:tc>
      </w:tr>
      <w:tr>
        <w:trPr>
          <w:trHeight w:val="215"/>
        </w:trPr>
        <w:tc>
          <w:tcPr>
            <w:tcW w:w="830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(104,444)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15,990</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296,222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48,713</w:t>
            </w:r>
          </w:p>
        </w:tc>
        <w:tc>
          <w:tcPr>
            <w:tcW w:w="0" w:type="dxa"/>
            <w:vAlign w:val="bottom"/>
          </w:tcPr>
          <w:p>
            <w:pPr>
              <w:spacing w:after="0"/>
              <w:rPr>
                <w:sz w:val="1"/>
                <w:szCs w:val="1"/>
                <w:color w:val="auto"/>
              </w:rPr>
            </w:pPr>
          </w:p>
        </w:tc>
      </w:tr>
      <w:tr>
        <w:trPr>
          <w:trHeight w:val="215"/>
        </w:trPr>
        <w:tc>
          <w:tcPr>
            <w:tcW w:w="8300" w:type="dxa"/>
            <w:vAlign w:val="bottom"/>
          </w:tcPr>
          <w:p>
            <w:pPr>
              <w:ind w:left="54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(185,409)</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(199,017)</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12,080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(77,199)</w:t>
            </w:r>
          </w:p>
        </w:tc>
        <w:tc>
          <w:tcPr>
            <w:tcW w:w="0" w:type="dxa"/>
            <w:vAlign w:val="bottom"/>
          </w:tcPr>
          <w:p>
            <w:pPr>
              <w:spacing w:after="0"/>
              <w:rPr>
                <w:sz w:val="1"/>
                <w:szCs w:val="1"/>
                <w:color w:val="auto"/>
              </w:rPr>
            </w:pPr>
          </w:p>
        </w:tc>
      </w:tr>
      <w:tr>
        <w:trPr>
          <w:trHeight w:val="215"/>
        </w:trPr>
        <w:tc>
          <w:tcPr>
            <w:tcW w:w="8300" w:type="dxa"/>
            <w:vAlign w:val="bottom"/>
          </w:tcPr>
          <w:p>
            <w:pPr>
              <w:ind w:left="5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(647,437)</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(95,877)</w:t>
            </w:r>
          </w:p>
        </w:tc>
        <w:tc>
          <w:tcPr>
            <w:tcW w:w="0" w:type="dxa"/>
            <w:vAlign w:val="bottom"/>
          </w:tcPr>
          <w:p>
            <w:pPr>
              <w:spacing w:after="0"/>
              <w:rPr>
                <w:sz w:val="1"/>
                <w:szCs w:val="1"/>
                <w:color w:val="auto"/>
              </w:rPr>
            </w:pPr>
          </w:p>
        </w:tc>
      </w:tr>
      <w:tr>
        <w:trPr>
          <w:trHeight w:val="209"/>
        </w:trPr>
        <w:tc>
          <w:tcPr>
            <w:tcW w:w="83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(630,858)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Investment in corporate joint ventures: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chemical</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(87,950)</w:t>
            </w:r>
          </w:p>
        </w:tc>
        <w:tc>
          <w:tcPr>
            <w:tcW w:w="0" w:type="dxa"/>
            <w:vAlign w:val="bottom"/>
          </w:tcPr>
          <w:p>
            <w:pPr>
              <w:spacing w:after="0"/>
              <w:rPr>
                <w:sz w:val="1"/>
                <w:szCs w:val="1"/>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Proceeds from the sale of assets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received from corporate joint ventures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2,056,311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336,285</w:t>
            </w:r>
          </w:p>
        </w:tc>
        <w:tc>
          <w:tcPr>
            <w:tcW w:w="0" w:type="dxa"/>
            <w:vAlign w:val="bottom"/>
          </w:tcPr>
          <w:p>
            <w:pPr>
              <w:spacing w:after="0"/>
              <w:rPr>
                <w:sz w:val="1"/>
                <w:szCs w:val="1"/>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Issuance of note receivable</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(80,615)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(70,219)</w:t>
            </w:r>
          </w:p>
        </w:tc>
        <w:tc>
          <w:tcPr>
            <w:tcW w:w="0" w:type="dxa"/>
            <w:vAlign w:val="bottom"/>
          </w:tcPr>
          <w:p>
            <w:pPr>
              <w:spacing w:after="0"/>
              <w:rPr>
                <w:sz w:val="1"/>
                <w:szCs w:val="1"/>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Decrease in other assets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industrial patents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(51,038)</w:t>
            </w:r>
          </w:p>
        </w:tc>
        <w:tc>
          <w:tcPr>
            <w:tcW w:w="0" w:type="dxa"/>
            <w:vAlign w:val="bottom"/>
          </w:tcPr>
          <w:p>
            <w:pPr>
              <w:spacing w:after="0"/>
              <w:rPr>
                <w:sz w:val="1"/>
                <w:szCs w:val="1"/>
                <w:color w:val="auto"/>
              </w:rPr>
            </w:pPr>
          </w:p>
        </w:tc>
      </w:tr>
      <w:tr>
        <w:trPr>
          <w:trHeight w:val="209"/>
        </w:trPr>
        <w:tc>
          <w:tcPr>
            <w:tcW w:w="83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1,959,700</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overdraft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(1,039,757)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94,637</w:t>
            </w:r>
          </w:p>
        </w:tc>
        <w:tc>
          <w:tcPr>
            <w:tcW w:w="0" w:type="dxa"/>
            <w:vAlign w:val="bottom"/>
          </w:tcPr>
          <w:p>
            <w:pPr>
              <w:spacing w:after="0"/>
              <w:rPr>
                <w:sz w:val="1"/>
                <w:szCs w:val="1"/>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Repayment of note payable</w:t>
            </w: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(7,041)</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(repayments) borrowings made on line of credit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693,000</w:t>
            </w:r>
          </w:p>
        </w:tc>
        <w:tc>
          <w:tcPr>
            <w:tcW w:w="0" w:type="dxa"/>
            <w:vAlign w:val="bottom"/>
          </w:tcPr>
          <w:p>
            <w:pPr>
              <w:spacing w:after="0"/>
              <w:rPr>
                <w:sz w:val="1"/>
                <w:szCs w:val="1"/>
                <w:color w:val="auto"/>
              </w:rPr>
            </w:pPr>
          </w:p>
        </w:tc>
      </w:tr>
      <w:tr>
        <w:trPr>
          <w:trHeight w:val="215"/>
        </w:trPr>
        <w:tc>
          <w:tcPr>
            <w:tcW w:w="8300" w:type="dxa"/>
            <w:vAlign w:val="bottom"/>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26,750</w:t>
            </w:r>
          </w:p>
        </w:tc>
        <w:tc>
          <w:tcPr>
            <w:tcW w:w="0" w:type="dxa"/>
            <w:vAlign w:val="bottom"/>
          </w:tcPr>
          <w:p>
            <w:pPr>
              <w:spacing w:after="0"/>
              <w:rPr>
                <w:sz w:val="1"/>
                <w:szCs w:val="1"/>
                <w:color w:val="auto"/>
              </w:rPr>
            </w:pPr>
          </w:p>
        </w:tc>
      </w:tr>
      <w:tr>
        <w:trPr>
          <w:trHeight w:val="209"/>
        </w:trPr>
        <w:tc>
          <w:tcPr>
            <w:tcW w:w="83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(1,132,798)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196,045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(118,869)</w:t>
            </w:r>
          </w:p>
        </w:tc>
        <w:tc>
          <w:tcPr>
            <w:tcW w:w="0" w:type="dxa"/>
            <w:vAlign w:val="bottom"/>
          </w:tcPr>
          <w:p>
            <w:pPr>
              <w:spacing w:after="0"/>
              <w:rPr>
                <w:sz w:val="1"/>
                <w:szCs w:val="1"/>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260,460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244,499</w:t>
            </w:r>
          </w:p>
        </w:tc>
        <w:tc>
          <w:tcPr>
            <w:tcW w:w="0" w:type="dxa"/>
            <w:vAlign w:val="bottom"/>
          </w:tcPr>
          <w:p>
            <w:pPr>
              <w:spacing w:after="0"/>
              <w:rPr>
                <w:sz w:val="1"/>
                <w:szCs w:val="1"/>
                <w:color w:val="auto"/>
              </w:rPr>
            </w:pPr>
          </w:p>
        </w:tc>
      </w:tr>
      <w:tr>
        <w:trPr>
          <w:trHeight w:val="209"/>
        </w:trPr>
        <w:tc>
          <w:tcPr>
            <w:tcW w:w="8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456,505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125,630</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6821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140"/>
        <w:spacing w:after="0" w:line="280"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162"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2008 and the results of their operations for the three months ended November 30, 2008 and November 30, 2007 and their cash flows for the three months ended November 30, 2008 and November 30, 2007, in conformity with accounting principles generally accepted in the United States of America (“US GAAP”).</w:t>
      </w:r>
    </w:p>
    <w:p>
      <w:pPr>
        <w:spacing w:after="0" w:line="19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 for the fiscal year ended August 31, 2008 and with the “Management’s Discussion and Analysis of Financial Condition and Results of Operations” section appearing in this report. Operating results for the three months ended November 30, 2008 are not necessarily indicative of the results that may be expected for the full fiscal year ending August 31, 2009.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2.</w:t>
            </w:r>
          </w:p>
        </w:tc>
        <w:tc>
          <w:tcPr>
            <w:tcW w:w="6520" w:type="dxa"/>
            <w:vAlign w:val="bottom"/>
          </w:tcPr>
          <w:p>
            <w:pPr>
              <w:ind w:left="60"/>
              <w:spacing w:after="0"/>
              <w:rPr>
                <w:sz w:val="20"/>
                <w:szCs w:val="20"/>
                <w:color w:val="auto"/>
              </w:rPr>
            </w:pPr>
            <w:r>
              <w:rPr>
                <w:rFonts w:ascii="Arial" w:cs="Arial" w:eastAsia="Arial" w:hAnsi="Arial"/>
                <w:sz w:val="18"/>
                <w:szCs w:val="18"/>
                <w:b w:val="1"/>
                <w:bCs w:val="1"/>
                <w:color w:val="auto"/>
              </w:rPr>
              <w:t>INVENTORIES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0"/>
        </w:trPr>
        <w:tc>
          <w:tcPr>
            <w:tcW w:w="71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30,</w:t>
            </w:r>
          </w:p>
        </w:tc>
        <w:tc>
          <w:tcPr>
            <w:tcW w:w="24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6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4"/>
                <w:szCs w:val="14"/>
                <w:color w:val="auto"/>
              </w:rPr>
            </w:pPr>
          </w:p>
        </w:tc>
      </w:tr>
      <w:tr>
        <w:trPr>
          <w:trHeight w:val="209"/>
        </w:trPr>
        <w:tc>
          <w:tcPr>
            <w:tcW w:w="6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1,039,549</w:t>
            </w:r>
          </w:p>
        </w:tc>
        <w:tc>
          <w:tcPr>
            <w:tcW w:w="120" w:type="dxa"/>
            <w:vAlign w:val="bottom"/>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1,462,018</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1,685,917</w:t>
            </w:r>
          </w:p>
        </w:tc>
      </w:tr>
      <w:tr>
        <w:trPr>
          <w:trHeight w:val="209"/>
        </w:trPr>
        <w:tc>
          <w:tcPr>
            <w:tcW w:w="660" w:type="dxa"/>
            <w:vAlign w:val="bottom"/>
          </w:tcPr>
          <w:p>
            <w:pPr>
              <w:spacing w:after="0"/>
              <w:rPr>
                <w:sz w:val="18"/>
                <w:szCs w:val="18"/>
                <w:color w:val="auto"/>
              </w:rPr>
            </w:pPr>
          </w:p>
        </w:tc>
        <w:tc>
          <w:tcPr>
            <w:tcW w:w="65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2,429,244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3.</w:t>
            </w:r>
          </w:p>
        </w:tc>
        <w:tc>
          <w:tcPr>
            <w:tcW w:w="6520" w:type="dxa"/>
            <w:vAlign w:val="bottom"/>
          </w:tcPr>
          <w:p>
            <w:pPr>
              <w:ind w:left="60"/>
              <w:spacing w:after="0"/>
              <w:rPr>
                <w:sz w:val="20"/>
                <w:szCs w:val="20"/>
                <w:color w:val="auto"/>
              </w:rPr>
            </w:pPr>
            <w:r>
              <w:rPr>
                <w:rFonts w:ascii="Arial" w:cs="Arial" w:eastAsia="Arial" w:hAnsi="Arial"/>
                <w:sz w:val="18"/>
                <w:szCs w:val="18"/>
                <w:b w:val="1"/>
                <w:bCs w:val="1"/>
                <w:color w:val="auto"/>
              </w:rPr>
              <w:t>PROPERTY AND EQUIPMENT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718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6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November 30,</w:t>
            </w:r>
          </w:p>
        </w:tc>
        <w:tc>
          <w:tcPr>
            <w:tcW w:w="240" w:type="dxa"/>
            <w:vAlign w:val="bottom"/>
          </w:tcPr>
          <w:p>
            <w:pPr>
              <w:spacing w:after="0"/>
              <w:rPr>
                <w:sz w:val="24"/>
                <w:szCs w:val="24"/>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6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09"/>
        </w:trPr>
        <w:tc>
          <w:tcPr>
            <w:tcW w:w="6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3,081,903</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3,031,103</w:t>
            </w:r>
          </w:p>
        </w:tc>
        <w:tc>
          <w:tcPr>
            <w:tcW w:w="1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1,638,385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1,608,570</w:t>
            </w:r>
          </w:p>
        </w:tc>
        <w:tc>
          <w:tcPr>
            <w:tcW w:w="100" w:type="dxa"/>
            <w:vAlign w:val="bottom"/>
            <w:shd w:val="clear" w:color="auto" w:fill="CCEEFF"/>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5,030,653</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4,950,038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(1,293,291)</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(1,195,473)</w:t>
            </w:r>
          </w:p>
        </w:tc>
      </w:tr>
      <w:tr>
        <w:trPr>
          <w:trHeight w:val="209"/>
        </w:trPr>
        <w:tc>
          <w:tcPr>
            <w:tcW w:w="6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3,737,362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3,754,565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consisted of the following:</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November 30,</w:t>
            </w:r>
          </w:p>
        </w:tc>
        <w:tc>
          <w:tcPr>
            <w:tcW w:w="2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5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4"/>
                <w:szCs w:val="14"/>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1,580,172</w:t>
            </w:r>
          </w:p>
        </w:tc>
        <w:tc>
          <w:tcPr>
            <w:tcW w:w="120" w:type="dxa"/>
            <w:vAlign w:val="bottom"/>
            <w:shd w:val="clear" w:color="auto" w:fill="CCEEFF"/>
          </w:tcPr>
          <w:p>
            <w:pPr>
              <w:spacing w:after="0"/>
              <w:rPr>
                <w:sz w:val="18"/>
                <w:szCs w:val="18"/>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(598,813)</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(564,851)</w:t>
            </w:r>
          </w:p>
        </w:tc>
      </w:tr>
      <w:tr>
        <w:trPr>
          <w:trHeight w:val="209"/>
        </w:trPr>
        <w:tc>
          <w:tcPr>
            <w:tcW w:w="65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Patent and trademark costs are amortized over seven years once a patent or trademark is filed and approved. Amortization expense related to patents and trademarks was $33,962 and $31,004 for the three months ended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November 30, 2008 and 2007, respectively. Amortization expense is estimated to approximate $136,000 in each of the next five fiscal years.</w:t>
      </w:r>
    </w:p>
    <w:p>
      <w:pPr>
        <w:spacing w:after="0" w:line="219"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27"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30,</w:t>
            </w:r>
          </w:p>
        </w:tc>
        <w:tc>
          <w:tcPr>
            <w:tcW w:w="2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4"/>
                <w:szCs w:val="14"/>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43,501,183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51,847,643</w:t>
            </w:r>
          </w:p>
        </w:tc>
        <w:tc>
          <w:tcPr>
            <w:tcW w:w="120" w:type="dxa"/>
            <w:vAlign w:val="bottom"/>
            <w:shd w:val="clear" w:color="auto" w:fill="CCEEFF"/>
          </w:tcPr>
          <w:p>
            <w:pPr>
              <w:spacing w:after="0"/>
              <w:rPr>
                <w:sz w:val="18"/>
                <w:szCs w:val="18"/>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50,312,225</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58,958,102</w:t>
            </w:r>
          </w:p>
        </w:tc>
      </w:tr>
      <w:tr>
        <w:trPr>
          <w:trHeight w:val="21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17,841,369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20,424,810</w:t>
            </w: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4,531,337</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4,756,650</w:t>
            </w:r>
          </w:p>
        </w:tc>
      </w:tr>
      <w:tr>
        <w:trPr>
          <w:trHeight w:val="21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27,939,519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33,776,642</w:t>
            </w:r>
          </w:p>
        </w:tc>
      </w:tr>
      <w:tr>
        <w:trPr>
          <w:trHeight w:val="201"/>
        </w:trPr>
        <w:tc>
          <w:tcPr>
            <w:tcW w:w="6580" w:type="dxa"/>
            <w:vAlign w:val="bottom"/>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Corporate Joint Ventures’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equity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13,039,844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16,016,347</w:t>
            </w:r>
          </w:p>
        </w:tc>
      </w:tr>
    </w:tbl>
    <w:p>
      <w:pPr>
        <w:spacing w:after="0" w:line="192" w:lineRule="exact"/>
        <w:rPr>
          <w:sz w:val="20"/>
          <w:szCs w:val="20"/>
          <w:color w:val="auto"/>
        </w:rPr>
      </w:pPr>
    </w:p>
    <w:p>
      <w:pPr>
        <w:sectPr>
          <w:pgSz w:w="11900" w:h="16838" w:orient="portrait"/>
          <w:cols w:equalWidth="0" w:num="1">
            <w:col w:w="11380"/>
          </w:cols>
          <w:pgMar w:left="240" w:top="367" w:right="279" w:bottom="0" w:gutter="0" w:footer="0" w:header="0"/>
        </w:sectPr>
      </w:pPr>
    </w:p>
    <w:p>
      <w:pPr>
        <w:ind w:left="7540"/>
        <w:spacing w:after="0"/>
        <w:tabs>
          <w:tab w:leader="none" w:pos="9260" w:val="left"/>
        </w:tabs>
        <w:rPr>
          <w:sz w:val="20"/>
          <w:szCs w:val="20"/>
          <w:color w:val="auto"/>
        </w:rPr>
      </w:pPr>
      <w:r>
        <w:rPr>
          <w:rFonts w:ascii="Arial" w:cs="Arial" w:eastAsia="Arial" w:hAnsi="Arial"/>
          <w:sz w:val="14"/>
          <w:szCs w:val="14"/>
          <w:b w:val="1"/>
          <w:bCs w:val="1"/>
          <w:color w:val="auto"/>
        </w:rPr>
        <w:t>November 30,</w:t>
      </w:r>
      <w:r>
        <w:rPr>
          <w:sz w:val="20"/>
          <w:szCs w:val="20"/>
          <w:color w:val="auto"/>
        </w:rPr>
        <w:tab/>
      </w:r>
      <w:r>
        <w:rPr>
          <w:rFonts w:ascii="Arial" w:cs="Arial" w:eastAsia="Arial" w:hAnsi="Arial"/>
          <w:sz w:val="13"/>
          <w:szCs w:val="13"/>
          <w:b w:val="1"/>
          <w:bCs w:val="1"/>
          <w:color w:val="auto"/>
        </w:rPr>
        <w:t>November 30,</w:t>
      </w:r>
    </w:p>
    <w:p>
      <w:pPr>
        <w:sectPr>
          <w:pgSz w:w="11900" w:h="16838" w:orient="portrait"/>
          <w:cols w:equalWidth="0" w:num="1">
            <w:col w:w="11380"/>
          </w:cols>
          <w:pgMar w:left="240" w:top="367" w:right="279" w:bottom="0" w:gutter="0" w:footer="0" w:header="0"/>
          <w:type w:val="continuous"/>
        </w:sectPr>
      </w:pPr>
    </w:p>
    <w:bookmarkStart w:id="5" w:name="page6"/>
    <w:bookmarkEnd w:id="5"/>
    <w:tbl>
      <w:tblPr>
        <w:tblLayout w:type="fixed"/>
        <w:tblInd w:w="660" w:type="dxa"/>
        <w:tblCellMar>
          <w:top w:w="0" w:type="dxa"/>
          <w:left w:w="0" w:type="dxa"/>
          <w:bottom w:w="0" w:type="dxa"/>
          <w:right w:w="0" w:type="dxa"/>
        </w:tblCellMar>
      </w:tblPr>
      <w:tr>
        <w:trPr>
          <w:trHeight w:val="170"/>
        </w:trPr>
        <w:tc>
          <w:tcPr>
            <w:tcW w:w="65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4"/>
                <w:szCs w:val="14"/>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21,109,585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23,944,115</w:t>
            </w:r>
          </w:p>
        </w:tc>
        <w:tc>
          <w:tcPr>
            <w:tcW w:w="120" w:type="dxa"/>
            <w:vAlign w:val="bottom"/>
            <w:shd w:val="clear" w:color="auto" w:fill="CCEEFF"/>
          </w:tcPr>
          <w:p>
            <w:pPr>
              <w:spacing w:after="0"/>
              <w:rPr>
                <w:sz w:val="18"/>
                <w:szCs w:val="18"/>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9,466,704</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11,009,748</w:t>
            </w:r>
          </w:p>
        </w:tc>
      </w:tr>
      <w:tr>
        <w:trPr>
          <w:trHeight w:val="21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1,102,716</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1,697,769</w:t>
            </w:r>
          </w:p>
        </w:tc>
      </w:tr>
      <w:tr>
        <w:trPr>
          <w:trHeight w:val="201"/>
        </w:trPr>
        <w:tc>
          <w:tcPr>
            <w:tcW w:w="658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equity in income of</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Corporate Joint Ventures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658,766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1,054,682</w:t>
            </w:r>
          </w:p>
        </w:tc>
      </w:tr>
    </w:tbl>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financial statements of the Company’s foreign joint ventures are prepared using accounting principles accepted in the joint ventures’ countries of domicile. Amounts related to foreign joint ventures reported in the above tables and the accompanying financial statements have been adjusted to approximate US GAAP in all material respects.</w:t>
      </w:r>
    </w:p>
    <w:p>
      <w:pPr>
        <w:spacing w:after="0" w:line="182"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During the three months ended November 30, 2007, the Company invested $87,950 in a non-industrial chemical joint venture in Thailand in addition to $143,000 previously invested in December 2006. The Company has a 50% ownership interest in the joint venture entity. The joint venture entity had no operations prior to the Company’s investment in December 2006. The total capitalization by both owners of the joint venture was $461,900 as of November 30, 2007. No additional contributions have been made to the joint venture as of November 30, 2008.</w:t>
      </w:r>
    </w:p>
    <w:p>
      <w:pPr>
        <w:spacing w:after="0" w:line="166"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the three months ended November 30, 2008, the Company did not purchase or retire any shares of its common stock and no stock options to purchase shares of the Company’s common stock were exercised. The Company granted stock bonuses under the Northern Technologies International Corporation 2007 Stock Incentive Plan for an aggregate of 21,513 shares of its common stock to various employees during the three months ended November 30, 2008. The fair value of the shares of the Company’s common stock as of the date of grant of the stock bonuses was $226,961, based on the closing sale price of a share of the Company’s common stock on that date.</w:t>
      </w:r>
    </w:p>
    <w:p>
      <w:pPr>
        <w:spacing w:after="0" w:line="191"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During the three months ended November 30, 2007, the Company did not purchase or retire any shares of its common stock and no stock options to purchase shares of the Company’s common stock were exercised. The Company granted stock bonuses under the Northern Technologies International Corporation 2007 Stock Incentive Plan for an aggregate of 33,595 shares of its common stock to various employees during the three months ended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November 30, 2007. The fair value of the shares of the Company’s common stock as of the date of grant of the stock bonuses was $334,270, based on the closing sale price of a share of the Company’s common stock on that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7.</w:t>
            </w:r>
          </w:p>
        </w:tc>
        <w:tc>
          <w:tcPr>
            <w:tcW w:w="7860" w:type="dxa"/>
            <w:vAlign w:val="bottom"/>
          </w:tcPr>
          <w:p>
            <w:pPr>
              <w:ind w:left="28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8300" w:type="dxa"/>
            <w:vAlign w:val="bottom"/>
            <w:gridSpan w:val="2"/>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3"/>
        </w:trPr>
        <w:tc>
          <w:tcPr>
            <w:tcW w:w="4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4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462"/>
              <w:spacing w:after="0" w:line="119" w:lineRule="exact"/>
              <w:rPr>
                <w:sz w:val="20"/>
                <w:szCs w:val="20"/>
                <w:color w:val="auto"/>
              </w:rPr>
            </w:pPr>
            <w:r>
              <w:rPr>
                <w:rFonts w:ascii="Arial" w:cs="Arial" w:eastAsia="Arial" w:hAnsi="Arial"/>
                <w:sz w:val="13"/>
                <w:szCs w:val="13"/>
                <w:b w:val="1"/>
                <w:bCs w:val="1"/>
                <w:color w:val="auto"/>
              </w:rPr>
              <w:t>November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79"/>
              <w:spacing w:after="0" w:line="119" w:lineRule="exact"/>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0"/>
                <w:szCs w:val="10"/>
                <w:color w:val="auto"/>
              </w:rPr>
            </w:pPr>
          </w:p>
        </w:tc>
      </w:tr>
      <w:tr>
        <w:trPr>
          <w:trHeight w:val="171"/>
        </w:trPr>
        <w:tc>
          <w:tcPr>
            <w:tcW w:w="440" w:type="dxa"/>
            <w:vAlign w:val="bottom"/>
            <w:tcBorders>
              <w:bottom w:val="single" w:sz="8" w:color="CCEEFF"/>
            </w:tcBorders>
          </w:tcPr>
          <w:p>
            <w:pPr>
              <w:spacing w:after="0"/>
              <w:rPr>
                <w:sz w:val="14"/>
                <w:szCs w:val="14"/>
                <w:color w:val="auto"/>
              </w:rPr>
            </w:pPr>
          </w:p>
        </w:tc>
        <w:tc>
          <w:tcPr>
            <w:tcW w:w="7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r>
      <w:tr>
        <w:trPr>
          <w:trHeight w:val="209"/>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658,196</w:t>
            </w:r>
          </w:p>
        </w:tc>
        <w:tc>
          <w:tcPr>
            <w:tcW w:w="100" w:type="dxa"/>
            <w:vAlign w:val="bottom"/>
            <w:shd w:val="clear" w:color="auto" w:fill="CCEEFF"/>
          </w:tcPr>
          <w:p>
            <w:pPr>
              <w:spacing w:after="0"/>
              <w:rPr>
                <w:sz w:val="18"/>
                <w:szCs w:val="18"/>
                <w:color w:val="auto"/>
              </w:rPr>
            </w:pPr>
          </w:p>
        </w:tc>
      </w:tr>
      <w:tr>
        <w:trPr>
          <w:trHeight w:val="215"/>
        </w:trPr>
        <w:tc>
          <w:tcPr>
            <w:tcW w:w="8300" w:type="dxa"/>
            <w:vAlign w:val="bottom"/>
            <w:gridSpan w:val="2"/>
          </w:tcPr>
          <w:p>
            <w:pPr>
              <w:spacing w:after="0"/>
              <w:rPr>
                <w:sz w:val="20"/>
                <w:szCs w:val="20"/>
                <w:color w:val="auto"/>
              </w:rPr>
            </w:pPr>
            <w:r>
              <w:rPr>
                <w:rFonts w:ascii="Arial" w:cs="Arial" w:eastAsia="Arial" w:hAnsi="Arial"/>
                <w:sz w:val="18"/>
                <w:szCs w:val="18"/>
                <w:color w:val="auto"/>
              </w:rPr>
              <w:t>Other comprehensive income: foreign currency translation adjustment</w:t>
            </w:r>
          </w:p>
        </w:tc>
        <w:tc>
          <w:tcPr>
            <w:tcW w:w="180" w:type="dxa"/>
            <w:vAlign w:val="bottom"/>
          </w:tcPr>
          <w:p>
            <w:pPr>
              <w:spacing w:after="0"/>
              <w:rPr>
                <w:sz w:val="18"/>
                <w:szCs w:val="18"/>
                <w:color w:val="auto"/>
              </w:rPr>
            </w:pPr>
          </w:p>
        </w:tc>
        <w:tc>
          <w:tcPr>
            <w:tcW w:w="1480" w:type="dxa"/>
            <w:vAlign w:val="bottom"/>
            <w:gridSpan w:val="2"/>
          </w:tcPr>
          <w:p>
            <w:pPr>
              <w:jc w:val="right"/>
              <w:ind w:right="142"/>
              <w:spacing w:after="0"/>
              <w:rPr>
                <w:sz w:val="20"/>
                <w:szCs w:val="20"/>
                <w:color w:val="auto"/>
              </w:rPr>
            </w:pPr>
            <w:r>
              <w:rPr>
                <w:rFonts w:ascii="Arial" w:cs="Arial" w:eastAsia="Arial" w:hAnsi="Arial"/>
                <w:sz w:val="18"/>
                <w:szCs w:val="18"/>
                <w:color w:val="auto"/>
              </w:rPr>
              <w:t>(1,578,958)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881,785</w:t>
            </w:r>
          </w:p>
        </w:tc>
      </w:tr>
      <w:tr>
        <w:trPr>
          <w:trHeight w:val="222"/>
        </w:trPr>
        <w:tc>
          <w:tcPr>
            <w:tcW w:w="8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(1,566,072</w:t>
            </w:r>
          </w:p>
        </w:tc>
        <w:tc>
          <w:tcPr>
            <w:tcW w:w="28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Options to purchase shares of common stock of 65,140 and 0 were excluded from the computation of common share equivalents as of November 30, 2008 and November 30, 2007, as stock option exercise prices were greater than market price of a share of common stock.</w:t>
      </w:r>
    </w:p>
    <w:p>
      <w:pPr>
        <w:spacing w:after="0" w:line="167"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Northern Technologies International Corporation 2007 Stock Incentive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has been reserved for issuance under the 2007 Plan, subject to adjustment as provided in the 2007 Plan. Options granted under the 2007 Plan generally have a term of five years and become exercisable over a three- or four-year period beginning on the one-year anniversary date of the grant. Options are granted at per share exercise prices equal to the market value of the Company’s common stock on the date of grant. To date, only stock options and stock bonuses have been granted under the 2007 Plan.</w:t>
      </w:r>
    </w:p>
    <w:p>
      <w:pPr>
        <w:spacing w:after="0" w:line="176"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The Northern Technologies International Corporation Employee Stock Purchase Plan (the “ESPP”) allows eligible employees of the Company to acquire shares of the Company’s common stock on favorable terms through payroll deductions. 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62"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The Company granted options to purchase 30,000 and 37,140 shares of its common stock during the three months ended November 30, 2008 and 2007, respectively. The fair value of option grants is determined at date of grant, using the Black-Scholes option pricing model with the assumptions listed below. Based on these valuations, the Company recognized compensation expense of $25,000 and $24,680 during the three months ended November 30, 2008 and</w:t>
      </w:r>
    </w:p>
    <w:p>
      <w:pPr>
        <w:sectPr>
          <w:pgSz w:w="11900" w:h="16838" w:orient="portrait"/>
          <w:cols w:equalWidth="0" w:num="1">
            <w:col w:w="11420"/>
          </w:cols>
          <w:pgMar w:left="240" w:top="118" w:right="239" w:bottom="0" w:gutter="0" w:footer="0" w:header="0"/>
        </w:sectPr>
      </w:pPr>
    </w:p>
    <w:bookmarkStart w:id="6" w:name="page7"/>
    <w:bookmarkEnd w:id="6"/>
    <w:p>
      <w:pPr>
        <w:spacing w:after="0" w:line="76"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2007, respectively, related to the options that vested during such time period. The stock-based expense recorded reduced after-tax net income per share by $0.01 and $0.01 for the three months ended</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November 30, 2008 and 2007, respectively. As of November 30, 2008, the total compensation cost for non-vested options not yet recognized in the Company’s statements of income was $213,592, net of estimated forfeitures. Additional stock-based compensation expense of $75,331 is expected through the remainder of fiscal year 2009, and expense of $90,424 and $47,837 is expected to be recognized during fiscal 2010 and 2011, respectively. Future option grants will impact the compensation expense recognized.</w:t>
      </w:r>
    </w:p>
    <w:p>
      <w:pPr>
        <w:spacing w:after="0" w:line="18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4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November 30,</w:t>
            </w: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November 30,</w:t>
            </w:r>
          </w:p>
        </w:tc>
      </w:tr>
      <w:tr>
        <w:trPr>
          <w:trHeight w:val="171"/>
        </w:trPr>
        <w:tc>
          <w:tcPr>
            <w:tcW w:w="51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CCEEFF"/>
            </w:tcBorders>
          </w:tcPr>
          <w:p>
            <w:pPr>
              <w:spacing w:after="0"/>
              <w:rPr>
                <w:sz w:val="14"/>
                <w:szCs w:val="14"/>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46.7%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fair value of options granted during the three months ended November 30, 2008 and 2007 was $4.78 and $3.54, respectively.</w:t>
      </w:r>
    </w:p>
    <w:p>
      <w:pPr>
        <w:spacing w:after="0" w:line="231"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70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November 30,</w:t>
            </w:r>
          </w:p>
        </w:tc>
        <w:tc>
          <w:tcPr>
            <w:tcW w:w="148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November 30,</w:t>
            </w:r>
          </w:p>
        </w:tc>
      </w:tr>
      <w:tr>
        <w:trPr>
          <w:trHeight w:val="171"/>
        </w:trPr>
        <w:tc>
          <w:tcPr>
            <w:tcW w:w="64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CCEEFF"/>
            </w:tcBorders>
          </w:tcPr>
          <w:p>
            <w:pPr>
              <w:spacing w:after="0"/>
              <w:rPr>
                <w:sz w:val="14"/>
                <w:szCs w:val="14"/>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89.3%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Outside the U.S.A. to:</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6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Corporate Joint Ventures in which the Company is a shareholder directly and</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9"/>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indirectly</w:t>
            </w:r>
          </w:p>
        </w:tc>
        <w:tc>
          <w:tcPr>
            <w:tcW w:w="1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7.2</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Unaffiliated customers</w:t>
            </w:r>
          </w:p>
        </w:tc>
        <w:tc>
          <w:tcPr>
            <w:tcW w:w="1700" w:type="dxa"/>
            <w:vAlign w:val="bottom"/>
            <w:gridSpan w:val="2"/>
          </w:tcPr>
          <w:p>
            <w:pPr>
              <w:jc w:val="right"/>
              <w:ind w:right="290"/>
              <w:spacing w:after="0"/>
              <w:rPr>
                <w:sz w:val="20"/>
                <w:szCs w:val="20"/>
                <w:color w:val="auto"/>
              </w:rPr>
            </w:pPr>
            <w:r>
              <w:rPr>
                <w:rFonts w:ascii="Arial" w:cs="Arial" w:eastAsia="Arial" w:hAnsi="Arial"/>
                <w:sz w:val="18"/>
                <w:szCs w:val="18"/>
                <w:color w:val="auto"/>
              </w:rPr>
              <w:t>3.5</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8.2</w:t>
            </w:r>
          </w:p>
        </w:tc>
      </w:tr>
      <w:tr>
        <w:trPr>
          <w:trHeight w:val="222"/>
        </w:trPr>
        <w:tc>
          <w:tcPr>
            <w:tcW w:w="64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for the three months ended November 30, 2008 and 2007 by segment: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30,</w:t>
            </w:r>
          </w:p>
        </w:tc>
        <w:tc>
          <w:tcPr>
            <w:tcW w:w="16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November 30,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1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28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2,784,536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3,165,439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(380,903)</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 xml:space="preserve">Natur-Tec™ </w:t>
            </w:r>
            <w:r>
              <w:rPr>
                <w:rFonts w:ascii="Arial" w:cs="Arial" w:eastAsia="Arial" w:hAnsi="Arial"/>
                <w:sz w:val="17"/>
                <w:szCs w:val="17"/>
                <w:color w:val="auto"/>
              </w:rPr>
              <w:t>sales</w:t>
            </w:r>
          </w:p>
        </w:tc>
        <w:tc>
          <w:tcPr>
            <w:tcW w:w="1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482,316</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63,684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418,632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5"/>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(4,210)</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5"/>
        </w:trPr>
        <w:tc>
          <w:tcPr>
            <w:tcW w:w="3520" w:type="dxa"/>
            <w:vAlign w:val="bottom"/>
          </w:tcPr>
          <w:p>
            <w:pPr>
              <w:spacing w:after="0"/>
              <w:rPr>
                <w:sz w:val="20"/>
                <w:szCs w:val="20"/>
                <w:color w:val="auto"/>
              </w:rPr>
            </w:pPr>
            <w:r>
              <w:rPr>
                <w:rFonts w:ascii="Arial" w:cs="Arial" w:eastAsia="Arial" w:hAnsi="Arial"/>
                <w:sz w:val="18"/>
                <w:szCs w:val="18"/>
                <w:color w:val="auto"/>
              </w:rPr>
              <w:t>React Inc. sales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248,160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(248,160)</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3,270,944</w:t>
            </w: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3,485,585</w:t>
            </w:r>
          </w:p>
        </w:tc>
        <w:tc>
          <w:tcPr>
            <w:tcW w:w="1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(214,641)</w:t>
            </w:r>
          </w:p>
        </w:tc>
        <w:tc>
          <w:tcPr>
            <w:tcW w:w="30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cost of sales for the three months ended November 30, 2008 and 2007 by segment: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November</w:t>
            </w:r>
          </w:p>
        </w:tc>
        <w:tc>
          <w:tcPr>
            <w:tcW w:w="200" w:type="dxa"/>
            <w:vAlign w:val="bottom"/>
          </w:tcPr>
          <w:p>
            <w:pPr>
              <w:spacing w:after="0"/>
              <w:rPr>
                <w:sz w:val="14"/>
                <w:szCs w:val="14"/>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 of Product</w:t>
            </w: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w:t>
            </w: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of Product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35"/>
              <w:spacing w:after="0"/>
              <w:rPr>
                <w:sz w:val="20"/>
                <w:szCs w:val="20"/>
                <w:color w:val="auto"/>
              </w:rPr>
            </w:pPr>
            <w:r>
              <w:rPr>
                <w:rFonts w:ascii="Arial" w:cs="Arial" w:eastAsia="Arial" w:hAnsi="Arial"/>
                <w:sz w:val="14"/>
                <w:szCs w:val="14"/>
                <w:b w:val="1"/>
                <w:bCs w:val="1"/>
                <w:color w:val="auto"/>
              </w:rPr>
              <w:t>30, 2008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4"/>
                <w:szCs w:val="14"/>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30, 2007</w:t>
            </w:r>
          </w:p>
        </w:tc>
        <w:tc>
          <w:tcPr>
            <w:tcW w:w="320" w:type="dxa"/>
            <w:vAlign w:val="bottom"/>
          </w:tcPr>
          <w:p>
            <w:pPr>
              <w:spacing w:after="0"/>
              <w:rPr>
                <w:sz w:val="14"/>
                <w:szCs w:val="1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Direct Cost of Sales</w:t>
            </w:r>
          </w:p>
        </w:tc>
        <w:tc>
          <w:tcPr>
            <w:tcW w:w="6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8"/>
                <w:szCs w:val="18"/>
                <w:color w:val="auto"/>
              </w:rPr>
              <w:t>ZERUST® cost of sales</w:t>
            </w:r>
          </w:p>
        </w:tc>
        <w:tc>
          <w:tcPr>
            <w:tcW w:w="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1,594,196</w:t>
            </w:r>
          </w:p>
        </w:tc>
        <w:tc>
          <w:tcPr>
            <w:tcW w:w="140" w:type="dxa"/>
            <w:vAlign w:val="bottom"/>
          </w:tcPr>
          <w:p>
            <w:pPr>
              <w:spacing w:after="0"/>
              <w:rPr>
                <w:sz w:val="18"/>
                <w:szCs w:val="18"/>
                <w:color w:val="auto"/>
              </w:rPr>
            </w:pPr>
          </w:p>
        </w:tc>
        <w:tc>
          <w:tcPr>
            <w:tcW w:w="1960" w:type="dxa"/>
            <w:vAlign w:val="bottom"/>
            <w:gridSpan w:val="3"/>
          </w:tcPr>
          <w:p>
            <w:pPr>
              <w:jc w:val="right"/>
              <w:ind w:right="260"/>
              <w:spacing w:after="0"/>
              <w:rPr>
                <w:sz w:val="20"/>
                <w:szCs w:val="20"/>
                <w:color w:val="auto"/>
              </w:rPr>
            </w:pPr>
            <w:r>
              <w:rPr>
                <w:rFonts w:ascii="Arial" w:cs="Arial" w:eastAsia="Arial" w:hAnsi="Arial"/>
                <w:sz w:val="18"/>
                <w:szCs w:val="18"/>
                <w:color w:val="auto"/>
              </w:rPr>
              <w:t>57.3%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1,548,555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Natur-Tec™ </w:t>
            </w:r>
            <w:r>
              <w:rPr>
                <w:rFonts w:ascii="Arial" w:cs="Arial" w:eastAsia="Arial" w:hAnsi="Arial"/>
                <w:sz w:val="17"/>
                <w:szCs w:val="17"/>
                <w:color w:val="auto"/>
              </w:rPr>
              <w:t>cost of sales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399,188</w:t>
            </w:r>
          </w:p>
        </w:tc>
        <w:tc>
          <w:tcPr>
            <w:tcW w:w="1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50,474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180"/>
              <w:spacing w:after="0"/>
              <w:rPr>
                <w:sz w:val="20"/>
                <w:szCs w:val="20"/>
                <w:color w:val="auto"/>
              </w:rPr>
            </w:pPr>
            <w:r>
              <w:rPr>
                <w:rFonts w:ascii="Arial" w:cs="Arial" w:eastAsia="Arial" w:hAnsi="Arial"/>
                <w:sz w:val="18"/>
                <w:szCs w:val="18"/>
                <w:color w:val="auto"/>
              </w:rPr>
              <w:t>React-NTI cost of sales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2,387</w:t>
            </w:r>
          </w:p>
        </w:tc>
        <w:tc>
          <w:tcPr>
            <w:tcW w:w="1960" w:type="dxa"/>
            <w:vAlign w:val="bottom"/>
            <w:gridSpan w:val="3"/>
          </w:tcPr>
          <w:p>
            <w:pPr>
              <w:jc w:val="right"/>
              <w:ind w:right="260"/>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4,838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React Inc. cost of sales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209,880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Pr>
          <w:p>
            <w:pPr>
              <w:spacing w:after="0"/>
              <w:rPr>
                <w:sz w:val="20"/>
                <w:szCs w:val="20"/>
                <w:color w:val="auto"/>
              </w:rPr>
            </w:pPr>
            <w:r>
              <w:rPr>
                <w:rFonts w:ascii="Arial" w:cs="Arial" w:eastAsia="Arial" w:hAnsi="Arial"/>
                <w:sz w:val="18"/>
                <w:szCs w:val="18"/>
                <w:color w:val="auto"/>
              </w:rPr>
              <w:t>Indirect Cost of Sales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297,196</w:t>
            </w:r>
          </w:p>
        </w:tc>
        <w:tc>
          <w:tcPr>
            <w:tcW w:w="200" w:type="dxa"/>
            <w:vAlign w:val="bottom"/>
          </w:tcPr>
          <w:p>
            <w:pPr>
              <w:spacing w:after="0"/>
              <w:rPr>
                <w:sz w:val="18"/>
                <w:szCs w:val="18"/>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279,943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cost of sales</w:t>
            </w:r>
          </w:p>
        </w:tc>
        <w:tc>
          <w:tcPr>
            <w:tcW w:w="6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2,292,967</w:t>
            </w:r>
          </w:p>
        </w:tc>
        <w:tc>
          <w:tcPr>
            <w:tcW w:w="1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2,093,691</w:t>
            </w:r>
          </w:p>
        </w:tc>
        <w:tc>
          <w:tcPr>
            <w:tcW w:w="32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1218"/>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826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680" w:firstLine="8"/>
        <w:spacing w:after="0" w:line="275" w:lineRule="auto"/>
        <w:tabs>
          <w:tab w:leader="none" w:pos="1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71" w:lineRule="exact"/>
        <w:rPr>
          <w:sz w:val="20"/>
          <w:szCs w:val="20"/>
          <w:color w:val="auto"/>
        </w:rPr>
      </w:pPr>
    </w:p>
    <w:p>
      <w:pPr>
        <w:jc w:val="both"/>
        <w:ind w:right="600"/>
        <w:spacing w:after="0" w:line="262" w:lineRule="auto"/>
        <w:rPr>
          <w:sz w:val="20"/>
          <w:szCs w:val="20"/>
          <w:color w:val="auto"/>
        </w:rPr>
      </w:pPr>
      <w:r>
        <w:rPr>
          <w:rFonts w:ascii="Arial" w:cs="Arial" w:eastAsia="Arial" w:hAnsi="Arial"/>
          <w:sz w:val="18"/>
          <w:szCs w:val="18"/>
          <w:color w:val="auto"/>
        </w:rPr>
        <w:t>The Company’s management utilizes product net sales and direct and indirect cost of sales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On July 25, 2008, the Company’s Board of Directors, upon recommendation of the Compensation Committee, approved the material terms of an annual bonus plan for the Company’s executive officers and certain employees for the fiscal year ending August 31, 2009, the purpose of which is to align the interests of the Company, its executive officers and stockholders by providing an incentive for the achievement of key corporate and individual performance measures that</w:t>
      </w:r>
    </w:p>
    <w:p>
      <w:pPr>
        <w:sectPr>
          <w:pgSz w:w="11900" w:h="16915" w:orient="portrait"/>
          <w:cols w:equalWidth="0" w:num="1">
            <w:col w:w="11460"/>
          </w:cols>
          <w:pgMar w:left="240" w:top="125" w:right="199" w:bottom="0" w:gutter="0" w:footer="0" w:header="0"/>
        </w:sectPr>
      </w:pPr>
    </w:p>
    <w:bookmarkStart w:id="7" w:name="page8"/>
    <w:bookmarkEnd w:id="7"/>
    <w:p>
      <w:pPr>
        <w:ind w:right="600"/>
        <w:spacing w:after="0" w:line="275" w:lineRule="auto"/>
        <w:rPr>
          <w:sz w:val="20"/>
          <w:szCs w:val="20"/>
          <w:color w:val="auto"/>
        </w:rPr>
      </w:pPr>
      <w:r>
        <w:rPr>
          <w:rFonts w:ascii="Arial" w:cs="Arial" w:eastAsia="Arial" w:hAnsi="Arial"/>
          <w:sz w:val="18"/>
          <w:szCs w:val="18"/>
          <w:color w:val="auto"/>
        </w:rPr>
        <w:t>are critical to the success of the Company and linking a significant portion of each executive officer’s annual compensation to the achievement of such measures. The following is a brief summary of the material terms approved by the Board:</w:t>
      </w:r>
    </w:p>
    <w:p>
      <w:pPr>
        <w:spacing w:after="0" w:line="171" w:lineRule="exact"/>
        <w:rPr>
          <w:sz w:val="20"/>
          <w:szCs w:val="20"/>
          <w:color w:val="auto"/>
        </w:rPr>
      </w:pPr>
    </w:p>
    <w:p>
      <w:pPr>
        <w:ind w:left="980" w:hanging="292"/>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total amount available under the bonus plan will be up to 25% of NTIC’s earnings before interest, taxes and other income (EBITOI);</w:t>
      </w:r>
    </w:p>
    <w:p>
      <w:pPr>
        <w:spacing w:after="0" w:line="234" w:lineRule="exact"/>
        <w:rPr>
          <w:rFonts w:ascii="Arial" w:cs="Arial" w:eastAsia="Arial" w:hAnsi="Arial"/>
          <w:sz w:val="17"/>
          <w:szCs w:val="17"/>
          <w:color w:val="auto"/>
        </w:rPr>
      </w:pPr>
    </w:p>
    <w:p>
      <w:pPr>
        <w:ind w:left="1020" w:right="160" w:hanging="332"/>
        <w:spacing w:after="0" w:line="275" w:lineRule="auto"/>
        <w:tabs>
          <w:tab w:leader="none" w:pos="9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ind w:left="1020" w:right="140" w:hanging="332"/>
        <w:spacing w:after="0" w:line="262" w:lineRule="auto"/>
        <w:tabs>
          <w:tab w:leader="none" w:pos="9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of bonuses under the plan will be purely discretionary and will be paid to executive officer participants in both cash and stock, the exact amount and percentages of which will be determined by NTIC’s Board of Directors, upon recommendation of the Compensation Committee.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No management bonus was made or accrued as of November 30, 2008. There was a $254,024 management bonus accrual as of November 30, 2007.</w:t>
      </w:r>
    </w:p>
    <w:p>
      <w:pPr>
        <w:spacing w:after="0" w:line="2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April 2007, REACT-NTI, LLC (“React LLC”), a company that is 75% owned by the Company, was served with a summons and complaint that was filed by Shamrock Technologies, Inc. (“Shamrock”) in state court in New York, which was subsequently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Shamrock further claims lost profits with respect to sales made by Shamrock that were manufactured by parties other than React LLC.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was stayed so that the parties could attempt mediation. The parties mediated for one day and were unsuccessful in resolving the matter. The parties proceeded with discovery, exchanging answers to interrogatories and documents, and the parties also obtained documents by subpoena from third parties. With more complete information, the parties decided to dismiss their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respective claims without prejudice and return to mediation. A mediation session was held on December 4, 2008, and the parties continued to negotiate through the mediator via telephone and email thereafter. Because the mediation and negotiation process is continuing, there can be no assurance at the present time that the matter will not result in a material adverse effect on the Company’s business, financial condition or results of operation.</w:t>
      </w:r>
    </w:p>
    <w:p>
      <w:pPr>
        <w:spacing w:after="0" w:line="16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Company was involved in a legal action in Finland whereby the Company sued a Finnish company for trademark infringement. Upon initiation of legal action, the courts seized the inventory of the Finnish company as contraband. The Company won the initial case, but subsequently lost on appeal. On November 19, 2008, the Company entered into an agreement to settle the lawsuit. Under the terms of the settlement agreement, the Company agreed to seek an amendment to its trademark YELLOW and to pay the defendant a one-time payment of 320,000 Euro. The defendant agreed, among other things, not to challenge the amendment or the validity of the Company’s trademark and not to infringe upon the trademark, once amended. Each party released each other of all claims in connection with the matter. As a result of the settlement, the Company recorded a $400,000 litigation settlement accrual in its consolidated financial statements for the fiscal year ended August 31, 2008. This amount was paid in full during the three months ended November 30, 2008.</w:t>
      </w:r>
    </w:p>
    <w:p>
      <w:pPr>
        <w:spacing w:after="0" w:line="16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Company is involved in various other legal actions arising in the normal course of business. Management is of the opinion that any judgment or settlement resulting from these pending or threatened actions would not have a material adverse effect on the Company’s business,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 June 2007, the U.S. Internal Revenue Service concluded its audit of the Company’s U.S. federal income tax returns for fiscal 2004 and 2005. As a result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audit, the Company paid the IRS approximately $25,000 in additional payroll taxes. The Company also agreed in principle with the IRS to adjustments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that will result in the additional payment of approximately $60,000 in income tax and interest. As a result of the audit, the IRS has also taken the position that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Company failed to withhold and has assessed against the Company aapproximately $505,000 of payroll taxes and individual income taxes on travel and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other expense reimbursements made to Philip M. Lynch, the Company’s former Chairman of the Board and Chief Executive Officer, and commissions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payments made to Inter Alia Holding Co. under that certain former Manufacturer’s Representative Agreement dated as of October 1, 1976 and as subsequently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amended thereafter between the Company and Inter Alia, which agreement has since been terminated. Inter Alia beneficially owns approximately 22.7%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Company’s outstanding common stock. G. Patrick Lynch, the Company’s current President and Chief Executive Officer, and three other members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Lynch family, are shareholders of Inter Alia.  The Company disagrees with the IRS’ position on withholding and is in the process of appealing the matter.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Because the Company believes that it has valid legal grounds for appeal, it has determined that a loss is not probable at this time as defined by SFAS 5,</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However, there can be no assurance that the ultimate resolution of the matter will not result in a material adverse effect 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business, financial condition or results of operations.</w:t>
      </w:r>
    </w:p>
    <w:p>
      <w:pPr>
        <w:spacing w:after="0" w:line="205"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2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The Company did not declare or pay any cash dividends during fiscal 2008 and as of January 14, 2009, had not declared or paid any cash dividends during fiscal 2009.</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issued 21,513 and 33,595 shares of common stock as stock bonuses under its stock incentive plans to various employees to satisfy $226,961 and $334,270 of accrued payroll liability during the quarter ended November 30, 2008 and 2007,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8" w:name="page9"/>
    <w:bookmarkEnd w:id="8"/>
    <w:p>
      <w:pPr>
        <w:ind w:left="2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headings “Forward-Looking Statements” and “Risk Factors” appearing elsewhere in this report. The following discussion of the results of the operations and financial condition of NTIC should be read in conjunction with NTIC’s consolidated financial statements and the related notes thereto included under Part I, Item 1 entitled “Financial Statements” of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Northern Technologies International Corporation develops and markets proprietary environmentally beneficial products and technical services either directly or via a network of joint ventures and independent distributors in over 50 countries. NTIC’s primary business is corrosion prevention. During fiscal 2008, NTIC launched a new product line of compounds and finished products based on a portfolio of proprietary bio-plastic technologies and beginning in fiscal 2009 launched, through a joint venture, technology and equipment to convert plastic waste into crude oil waste. NTIC is also in various stages of development with respect to several other emerging businesses, including the application of its corrosion prevention technology to the oil and gas industry.</w:t>
      </w:r>
    </w:p>
    <w:p>
      <w:pPr>
        <w:spacing w:after="0" w:line="16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NTIC has been selling its proprietary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EXCOR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25 years. NTIC also offers worldwide on-site technical consulting for rust and corrosion prevention issues. In North America, NTIC markets its technical services and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principally to industrial users by a direct sales force and a network of independent distributors. NTIC’s technical service consultants work directly with the end users of NTIC’s products to analyze their specific needs and develop systems to meet their technical requirements. During the three months ended November 30, 2008, 85.1% of NTIC’s consolidated net sales were derived from the sales of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EXCOR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rust and corrosion inhibiting packaging products and services. Sales of NTIC’s rust and corrosion inhibiting products in North America have decreased during the past several fiscal years. One of the main markets for NTIC’s rust and corrosion inhibiting products has typically been the automotive industry. While the automotive industry had been growing worldwide, it has been stagnant or contracting recently, and significantly so in the United States, and is not expected to improve in the foreseeable future, especially in light of the current economic conditions affecting that industry.</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December 2008 and January 2009, NTIC implemented a number of countermeasures in order to address the negative impact of the current economic crisis, especially with respect to its effect on the worldwide automotive industry. NTIC reduced the base salaries of its executive and other officers by approximately 15% on average, by 10% for all other employees and suspended the NTIC’s matching of 401(k) contributions. NTIC also implemented a hiring freeze and laid off nine individuals or 16% of its work force. Furthermore, significant cost concessions were requested and obtained from all of NTIC’s major vendors and service providers. NTIC enacted other expense control measures across all of its departments with the objective to conserve cash and reduce expenses while protecting the essential sales and marketing efforts of each business. NTIC anticipates recognizing the benefit of these cost control measures immediately.</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addition to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and services, NTIC develops and in the beginning of fiscal 2008 launched a portfolio of bio-based and biodegradable (compostable) polymer resin compounds and finished products under the Natur-Tec™ brand. During the three months ended November 30, 2008, 14.7% of NTIC’s consolidated net sales were derived from the sales of the Natur-Tec™ products compared to 1.8% during the three months ended November 31, 2007. These products are intended to reduce NTIC’s customers’ carbon footprint and provide environmentally sound disposal options. In recent years, a combination of market drivers, such as higher petroleum prices, a desire to reduce dependence on foreign oil, increased environmental awareness at the consumer level and regulations banning the use of traditional, petroleum-based plastics, have led to interest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sustainable, renewable resource-based and compostable alternatives to traditional plastics. Natur-Tec™ bio-based and biodegradable plastics are manufactured using NTIC’s patented and/or proprietary technologies and are intended to replace conventional petroleum-based plastics. The Natur-Tec™ bioplastics portfolio includes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 environment. Unlike competing plastic products claiming to be “degradable” or “oxo-degradable” that only break down into smaller plastic fragments, Natur-Tec™ products are designed to completely biodegrade within 180 days in accordance with the ASTM D6400 standard for compostable plastics and are certified 100 percent biodegradable and compostable by the Biodegradable Products Institute.</w:t>
      </w:r>
    </w:p>
    <w:p>
      <w:pPr>
        <w:spacing w:after="0" w:line="1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NTIC participates, either directly or indirectly through holding companies, in 29 corporate joint venture arrangements in North America, South America, Europe, Asia and the Middle East. Each of these joint ventures generally manufactures and markets finished products in the geographic territory that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or intend to manufacture, market or sell bio-based additives with both industrial and personal care applications, machinery that converts waste plastics into diesel, gasoline and mid-distillates, and electronic sensing instruments. NTIC categorizes its joint ventures into two principal areas: industrial chemical and non-industrial chemical.</w:t>
      </w:r>
    </w:p>
    <w:p>
      <w:pPr>
        <w:spacing w:after="0" w:line="16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profits of NTIC’s corporate joint ventures are shared by the respective corporate joint venture owners in accordance with their respective ownership percentages. NTIC typically owns 50% or less of its joint venture entities and thus does not control the decisions of these entities regarding whether to pay dividends and how much in dividends in any given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NTIC’s consolidated net sales decreased 6.2% during the three months ended November 30, 2008 as compared to the three months ended November 30, 2007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primarily as a result of decreased demand for NTIC’s ZERUST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products and elimination of the React Inc sales, partially offset by sales of its new Natur-</w:t>
      </w:r>
    </w:p>
    <w:p>
      <w:pPr>
        <w:spacing w:after="0" w:line="204" w:lineRule="auto"/>
        <w:rPr>
          <w:sz w:val="20"/>
          <w:szCs w:val="20"/>
          <w:color w:val="auto"/>
        </w:rPr>
      </w:pPr>
      <w:r>
        <w:rPr>
          <w:rFonts w:ascii="Arial" w:cs="Arial" w:eastAsia="Arial" w:hAnsi="Arial"/>
          <w:sz w:val="17"/>
          <w:szCs w:val="17"/>
          <w:color w:val="auto"/>
        </w:rPr>
        <w:t>Tec™ products. Net sales of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decreased 12.0% to $2,784,536 during the three months ended November 30, 2008 as compared to</w:t>
      </w:r>
    </w:p>
    <w:p>
      <w:pPr>
        <w:spacing w:after="0"/>
        <w:rPr>
          <w:sz w:val="20"/>
          <w:szCs w:val="20"/>
          <w:color w:val="auto"/>
        </w:rPr>
      </w:pPr>
      <w:r>
        <w:rPr>
          <w:rFonts w:ascii="Arial" w:cs="Arial" w:eastAsia="Arial" w:hAnsi="Arial"/>
          <w:sz w:val="16"/>
          <w:szCs w:val="16"/>
          <w:color w:val="auto"/>
        </w:rPr>
        <w:t>$3,165,439 during the three months ended November 30, 2007. Net sales of the React Inc products were $0 during the three months ended November 30,</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2008 compared to $248,160 during the three months ended November 30, 2007. Net sales of Nature-Tec™ products increased 657.4% to $482,316 during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November 30, 2008 as compared to $63,684 during the three months ended November 30, 2007.</w:t>
      </w:r>
    </w:p>
    <w:p>
      <w:pPr>
        <w:sectPr>
          <w:pgSz w:w="11900" w:h="16838" w:orient="portrait"/>
          <w:cols w:equalWidth="0" w:num="1">
            <w:col w:w="11420"/>
          </w:cols>
          <w:pgMar w:left="240" w:top="121" w:right="239" w:bottom="0" w:gutter="0" w:footer="0" w:header="0"/>
        </w:sectPr>
      </w:pPr>
    </w:p>
    <w:bookmarkStart w:id="9" w:name="page10"/>
    <w:bookmarkEnd w:id="9"/>
    <w:p>
      <w:pPr>
        <w:spacing w:after="0" w:line="4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Cost of goods sold as a percentage of net sales increased to 70.1% in the three months ended November 30, 2008 as compared to 60.0% for the three months ended November 30, 2007 primarily as a result of the significant increase of Natur-Tec™ products sales as a percentage of total sales during the three months ended November 30, 2008 compared to the three months ended November 30, 2007, which sales were sold at lower margins than NTIC’s ZERUST® products.</w:t>
      </w:r>
    </w:p>
    <w:p>
      <w:pPr>
        <w:spacing w:after="0" w:line="18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Total net sales of all of NTIC’s joint ventures decreased 11.8% to $21,109,585 during the three months ended November 30, 2008 as compared to $23,944,115 during the three months ended November 30, 2007 primarily as a result of decreased demand for ZERUST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due to the global economic slowdown and to a lesser extent, the foreign currency exchange rate of the U.S. dollar compared to other currencies in which NTIC’s joint ventures conduct business. NTIC also recognized a 5.2% decrease in fee income for technical and support services as a result of the decrease in total net sales of the joint ventures. Such fees decreased to $1,320,719 during the three months ended November 30, 2008 as compared to $1,393,795 during the three months ended November 30, 2007. NTIC’s equity in income of corporate joint ventures and holding companies decreased 37.5% to $658,766 during the three months ended November 30, 2008 as compared to $1,054,682 during the three months ended November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30, 2007. NTIC incurs direct expenses related to its corporate joint ventures and holding companies. Such expenses include product and business development,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incurred $1,178,034 in direct joint venture expenses during the three months ended November 30, 2008 as compared to $1,239,175 during the three months ended November 30, 2007, a decrease of 4.9%. NTIC’s total income from its corporate joint ventures and holding companies decreased 33.7% to $801,451 for the three months ended November 30, 2008 compared to $1,209,302 for the three months ended November 30, 2007.</w:t>
      </w:r>
    </w:p>
    <w:p>
      <w:pPr>
        <w:spacing w:after="0" w:line="16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NTIC spent $722,078 in the three months ended November 30, 2008 and $715,564 in the three months ended November 30, 2007 in connection with its research and development activities. NTIC anticipates that it will spend between $2,800,000 and $3,200,000 in total during fiscal 2009 on research and development activities related to its new technologies. These fees are accounted for in the “Expenses incurred in support of corporate joint ventures” section of NTIC’s consolidated statements of income.</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Net income decreased 98.0% to $12,885, or $0.00 per diluted common share, for the three months ended November 30, 2008 compared to $658,196, or $0.18 per diluted common share, for the three months ended November 30, 2007. This decrease was primarily the result of the decreased demand of NTIC’s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United States and internationally due to the global economic slowdown.</w:t>
      </w:r>
    </w:p>
    <w:p>
      <w:pPr>
        <w:spacing w:after="0" w:line="9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NTIC’s working capital was $6,625,943 at November 30, 2008, including $456,505 in cash and cash equivalents. As of November 30, 2008, NTIC had no borrowings under its $2,300,000 demand line of credit. As of November 30, 2008, $600,000 was committed under the demand line of credit to cover a letter of credit.</w:t>
      </w:r>
    </w:p>
    <w:p>
      <w:pPr>
        <w:spacing w:after="0" w:line="182"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NTIC expects to meet its future liquidity requirements during at least the next 12 months by using its existing cash and cash equivalents, forecasted cash flows from future operations, distributions of earnings and technical assistance fees to NTIC from its joint venture investments and funds available through existing or anticipated financing arrangements. In order to take advantage of new product market opportunities to expand its business and increase its revenues, NTIC may decide to finance such opportunities by borrowing under its line of credit or raising additional financing through the issuance of debt or equity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November 30, 2008 and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30,</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 of Net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November 30,</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 of Net</w:t>
            </w:r>
          </w:p>
        </w:tc>
        <w:tc>
          <w:tcPr>
            <w:tcW w:w="10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4"/>
                <w:szCs w:val="14"/>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2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4"/>
              </w:rPr>
              <w:t>3,270,944</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4"/>
              </w:rPr>
              <w:t>3,485,585</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color w:val="auto"/>
                <w:w w:val="84"/>
              </w:rPr>
              <w:t>2,292,967</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2,093,691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199,276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770,570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859,644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(89,074)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20"/>
                <w:szCs w:val="20"/>
                <w:color w:val="auto"/>
              </w:rPr>
            </w:pPr>
            <w:r>
              <w:rPr>
                <w:rFonts w:ascii="Arial" w:cs="Arial" w:eastAsia="Arial" w:hAnsi="Arial"/>
                <w:sz w:val="18"/>
                <w:szCs w:val="18"/>
                <w:color w:val="auto"/>
                <w:w w:val="98"/>
              </w:rPr>
              <w:t>General and administrative expenses</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941,438</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948,297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(6,859)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6,067</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57,128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(51,061)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3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net sales originating in the United States decreased 6.2% during the three months ended November 30, 2008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2008 primarily as a result of decreased demand for NTIC’s ZERUST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and to a lesser extent due to the loss of the principal customer of React Inc., partially offset by sales of its new Natur-Tec™ products.</w:t>
      </w:r>
    </w:p>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The following table sets forth additional detail regarding NTIC’s net sales by product category for the three months ended November 30, 2008 and 2007:</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November 30,</w:t>
            </w:r>
          </w:p>
        </w:tc>
        <w:tc>
          <w:tcPr>
            <w:tcW w:w="12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30,</w:t>
            </w:r>
          </w:p>
        </w:tc>
        <w:tc>
          <w:tcPr>
            <w:tcW w:w="220" w:type="dxa"/>
            <w:vAlign w:val="bottom"/>
          </w:tcPr>
          <w:p>
            <w:pPr>
              <w:spacing w:after="0"/>
              <w:rPr>
                <w:sz w:val="14"/>
                <w:szCs w:val="14"/>
                <w:color w:val="auto"/>
              </w:rPr>
            </w:pPr>
          </w:p>
        </w:tc>
        <w:tc>
          <w:tcPr>
            <w:tcW w:w="940" w:type="dxa"/>
            <w:vAlign w:val="bottom"/>
          </w:tcPr>
          <w:p>
            <w:pPr>
              <w:jc w:val="right"/>
              <w:ind w:right="45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2,784,536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3,165,439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(380,903)</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 xml:space="preserve">Natur-Tec™ </w:t>
            </w:r>
            <w:r>
              <w:rPr>
                <w:rFonts w:ascii="Arial" w:cs="Arial" w:eastAsia="Arial" w:hAnsi="Arial"/>
                <w:sz w:val="17"/>
                <w:szCs w:val="17"/>
                <w:color w:val="auto"/>
              </w:rPr>
              <w:t>sales</w:t>
            </w: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482,316</w:t>
            </w:r>
          </w:p>
        </w:tc>
        <w:tc>
          <w:tcPr>
            <w:tcW w:w="1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63,684</w:t>
            </w:r>
          </w:p>
        </w:tc>
        <w:tc>
          <w:tcPr>
            <w:tcW w:w="2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418,632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React Inc. sales</w:t>
            </w: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248,160</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(248,160)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North American net sales</w:t>
            </w: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3,270,944</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3,485,585</w:t>
            </w: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(214,641)</w:t>
            </w:r>
          </w:p>
        </w:tc>
        <w:tc>
          <w:tcPr>
            <w:tcW w:w="30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spacing w:after="0" w:line="340"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9.5% for the three months ended November 30, 2008 compared to the same period in November 2007</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as a result of the significant increase of Natur-Tec™ products sales as a percentage of total sales during the three months ended November 30, 2008</w:t>
      </w:r>
    </w:p>
    <w:p>
      <w:pPr>
        <w:sectPr>
          <w:pgSz w:w="11900" w:h="16884" w:orient="portrait"/>
          <w:cols w:equalWidth="0" w:num="1">
            <w:col w:w="11420"/>
          </w:cols>
          <w:pgMar w:left="240" w:top="340" w:right="239" w:bottom="0" w:gutter="0" w:footer="0" w:header="0"/>
        </w:sectPr>
      </w:pPr>
    </w:p>
    <w:bookmarkStart w:id="10" w:name="page11"/>
    <w:bookmarkEnd w:id="10"/>
    <w:p>
      <w:pPr>
        <w:ind w:right="380"/>
        <w:spacing w:after="0" w:line="285" w:lineRule="auto"/>
        <w:rPr>
          <w:sz w:val="20"/>
          <w:szCs w:val="20"/>
          <w:color w:val="auto"/>
        </w:rPr>
      </w:pPr>
      <w:r>
        <w:rPr>
          <w:rFonts w:ascii="Arial" w:cs="Arial" w:eastAsia="Arial" w:hAnsi="Arial"/>
          <w:sz w:val="17"/>
          <w:szCs w:val="17"/>
          <w:color w:val="auto"/>
        </w:rPr>
        <w:t>compared to the three months ended November 30, 2007, which sales were sold at lower margins than NTIC’s ZERUST® products. Cost of sales as a percentage of net sales also increased to 70.1% for the three months ended November 30, 2008 compared to 60.0% in the same period in November 2007 primarily as a result of the difference in margins in the Natur-Tec™ products compared to ZERUST® products.</w:t>
      </w:r>
    </w:p>
    <w:p>
      <w:pPr>
        <w:spacing w:after="0" w:line="16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decreased 10.4% for the three months ended November 30, 2008 compared the same period in fiscal 2008 due to</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i) consulting expense of $31,000 ii) HR hiring fees of $35,000 and iii) commissions of $39,000. Selling expenses as a percentage of net sales decreased by a negligible amount.</w:t>
      </w:r>
    </w:p>
    <w:p>
      <w:pPr>
        <w:spacing w:after="0" w:line="18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decreased by a negligible amount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2008 compared to same period in fiscal 2008. As a percentage of net sales, general and administrative expenses increased by a negligible amount. NTIC includes expenses in general and administrative expenses that provide benefit to the various joint ventures in addition to providing benefit to NTIC’s North American operations, including specifically, expenses associated with information technology, general insurance, executive and non-executive salary, bonus and benefits, building expenses, audit and tax and directors fees.</w:t>
      </w:r>
    </w:p>
    <w:p>
      <w:pPr>
        <w:spacing w:after="0" w:line="191"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i w:val="1"/>
          <w:iCs w:val="1"/>
          <w:color w:val="auto"/>
        </w:rPr>
        <w:t>Lab and Technical Support Expenses</w:t>
      </w:r>
      <w:r>
        <w:rPr>
          <w:rFonts w:ascii="Arial" w:cs="Arial" w:eastAsia="Arial" w:hAnsi="Arial"/>
          <w:sz w:val="16"/>
          <w:szCs w:val="16"/>
          <w:color w:val="auto"/>
        </w:rPr>
        <w:t>. NTIC’s lab and technical support expenses decreased 89.4% for the three months ended November 30, 2008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same period in fiscal 2008 primarily as a result of a change in the allocation of these expenses to sales activities. As a percentage of net sales, lab and technical support expenses decreased to 0.2% for the three months ended November 30, 2008 compared to same period in fiscal 2008.</w:t>
      </w:r>
    </w:p>
    <w:p>
      <w:pPr>
        <w:spacing w:after="0" w:line="14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in for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2008 and the same period in fiscal 2008, excluding React-NTI LLC, were as follows: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9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November 30,</w:t>
            </w: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219"/>
              <w:spacing w:after="0" w:line="119" w:lineRule="exact"/>
              <w:rPr>
                <w:sz w:val="20"/>
                <w:szCs w:val="20"/>
                <w:color w:val="auto"/>
              </w:rPr>
            </w:pPr>
            <w:r>
              <w:rPr>
                <w:rFonts w:ascii="Arial" w:cs="Arial" w:eastAsia="Arial" w:hAnsi="Arial"/>
                <w:sz w:val="13"/>
                <w:szCs w:val="13"/>
                <w:b w:val="1"/>
                <w:bCs w:val="1"/>
                <w:color w:val="auto"/>
              </w:rPr>
              <w:t>November 30,</w:t>
            </w:r>
          </w:p>
        </w:tc>
        <w:tc>
          <w:tcPr>
            <w:tcW w:w="140" w:type="dxa"/>
            <w:vAlign w:val="bottom"/>
          </w:tcPr>
          <w:p>
            <w:pPr>
              <w:spacing w:after="0"/>
              <w:rPr>
                <w:sz w:val="10"/>
                <w:szCs w:val="10"/>
                <w:color w:val="auto"/>
              </w:rPr>
            </w:pPr>
          </w:p>
        </w:tc>
      </w:tr>
      <w:tr>
        <w:trPr>
          <w:trHeight w:val="171"/>
        </w:trPr>
        <w:tc>
          <w:tcPr>
            <w:tcW w:w="6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4"/>
                <w:szCs w:val="14"/>
                <w:color w:val="auto"/>
              </w:rPr>
            </w:pPr>
          </w:p>
        </w:tc>
      </w:tr>
      <w:tr>
        <w:trPr>
          <w:trHeight w:val="209"/>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20,842,816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23,626,448</w:t>
            </w:r>
          </w:p>
        </w:tc>
        <w:tc>
          <w:tcPr>
            <w:tcW w:w="140" w:type="dxa"/>
            <w:vAlign w:val="bottom"/>
            <w:shd w:val="clear" w:color="auto" w:fill="CCEEFF"/>
          </w:tcPr>
          <w:p>
            <w:pPr>
              <w:spacing w:after="0"/>
              <w:rPr>
                <w:sz w:val="18"/>
                <w:szCs w:val="18"/>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Non-industrial chemical</w:t>
            </w:r>
          </w:p>
        </w:tc>
        <w:tc>
          <w:tcPr>
            <w:tcW w:w="2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266,769</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317,667</w:t>
            </w:r>
          </w:p>
        </w:tc>
      </w:tr>
      <w:tr>
        <w:trPr>
          <w:trHeight w:val="209"/>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International Corporate Joint Ventures and Holding Companies Sales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21,109,585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23,944,115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NTIC receives fees for technical and other support services it provides to its corporate joint ventures based on the revenues of the individual corporate joint ventures. NTIC recognized fee income for such support of $1,320,719 in the three months ended November 30, 2008 compared to $1,393,795 during the same period in fiscal 2008, a decrease of 5.2%. The decrease in fees for technical and other support to its corporate joint ventures was due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decrease in revenues from the corporate joint ventures as a whole, as well as the foreign currency exchange rate of the U.S. dollar compared to other currencies in which NTIC’s joint ventures conduct business.</w:t>
      </w:r>
    </w:p>
    <w:p>
      <w:pPr>
        <w:spacing w:after="0" w:line="17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NTIC sponsors a worldwide corporate joint venture conference approximately every three to four years in which all of its corporate joint ventures are invited to participate. NTIC defers a portion of its technical and other support fees received from its corporate joint ventures in each accounting period leading up to the next conference, reflecting that NTIC has not fully earned the payments received during that period. The next corporate joint venture conference is scheduled to be held in the summer of 2009 or 2010. There was no deferred income recorded within other accrued liabilities during the three months ended November 30, 2008 related to this future conference, however, $288,000 has been accrued over the past three fiscal years. The costs associated with these joint venture conferences are offset against the deferral as incurred, generally in the period in which the conference is held and immediately before.</w:t>
      </w:r>
    </w:p>
    <w:p>
      <w:pPr>
        <w:spacing w:after="0" w:line="162"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$1,178,034 during the three months ended November 30, 2008 compared to $1,239,175 in the same period in fiscal 2008, a decrease of 4.9%. The decrease in direct expenses incurred relating to NTIC’s corporate joint ventures and holding companies during the three months ended November 30, 2008 compared to the three months ended November 30, 2007 was attributable to decreases of (i) consulting expense of $46,000, (ii) miscellaneous expense of $54,000, partially offset by increases in (i) expenses related to employee wages of $30,000. As a percentage of net sales, direct expenses incurred relating to NTIC’s corporate joint ventures and holding companies increased by an immaterial amount for the period ended November 30, 2008 compared to November 30, 2007.</w:t>
      </w:r>
    </w:p>
    <w:p>
      <w:pPr>
        <w:spacing w:after="0" w:line="1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NTIC had equity in income of corporate joint ventures and holding companies of $658,766 during the three months ended November 30, 2008 as compared to $1,054,682 during the three months ended November 30, 2007. The decrease in equity in income was due to the decrease in sales from the corporate joint ventures as a whole due to the global economic slowdown as well as the foreign currency exchange rate of the U.S. dollar compared to other currencies in which NTIC’s joint ventures conduct business.</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slightly to $445 during the three months ended November 30, 2008 compared to $495 for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2008 due to lower average invested cash balances during the most recent period.</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slightly to $31,898 during the three months ended November 30, 2008 compared to $31,523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fiscal 2008 due to higher average outstanding debt during the most recent period.</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 expense decreased to $45,886 during the three months ended November 30, 2008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$736,196 for the same period in fiscal 2008.</w:t>
      </w:r>
    </w:p>
    <w:p>
      <w:pPr>
        <w:spacing w:after="0" w:line="171" w:lineRule="exact"/>
        <w:rPr>
          <w:sz w:val="20"/>
          <w:szCs w:val="20"/>
          <w:color w:val="auto"/>
        </w:rPr>
      </w:pPr>
    </w:p>
    <w:p>
      <w:pPr>
        <w:spacing w:after="0" w:line="274"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decreased to $33,000 during the three months ended November 30, 2008 compared to $78,000 in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2008. Income tax expense was calculated based on management’s estimate of NTIC’s annual effective income tax rate. NTIC’s annual effective income tax rate during the three months ended November 30, 2008 and 2007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ectPr>
          <w:pgSz w:w="11900" w:h="16838" w:orient="portrait"/>
          <w:cols w:equalWidth="0" w:num="1">
            <w:col w:w="11400"/>
          </w:cols>
          <w:pgMar w:left="240" w:top="125" w:right="259" w:bottom="102"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26821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00"/>
          </w:cols>
          <w:pgMar w:left="240" w:top="125" w:right="259" w:bottom="102"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November 30, 2008, NTIC’s working capital was $6,625,943, including $456,505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$4,941,371 including $260,460 in cash and cash equivalents, as of August 31, 2008.</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10, 2008, NTIC entered into a Promissory Note Modification Agreement with National City Bank pursuant to which NTIC’s demand line of credit was increased to $2,300,000 and its $1,500,000 revolving credit facility was terminated. Advances made under the demand line of credit will be made at the sole discretion of National City Bank and will be due and payable on demand. Outstanding amounts under the demand line of credit bear interest at an annual rate based on LIBOR plus 2.25%. As of November 30, 2008, the interest rate was 3.41%. Interest is payable in arrears on the 15th day of each month and on demand. As of November 30, 2008, NTIC had no borrowings under its $2,300,000 demand line of credit. As of November 30, 2008, $600,000 was committed under the demand line of credit to cover a letter of credit.</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and technical assistance fees to NTIC from its joint venture investments and funds available through existing or anticipated financing arrangements, will continue to be adequate to fund its existing operations, capital expenditures, debt repayments and any stock repurchases for at least the next 12 months. In an effort to increase net sales, NTIC is in the process of expanding its product line to include additional biodegradable and compostable plastics products and process technology and machinery that converts plastic waste into crude oil and the application of its corrosion inhibiting technology into the oil and gas industry. During fiscal 2009, NTIC expects to invest additional research and development and marketing efforts and resources into these emerging businesses, product lines and markets. In order to take advantage of such new product and market opportunities to expand its business and increase its revenues, NTIC may decide to finance such opportunities by borrowing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Cash flows used in operations for the three months ended November 30, 2008 was $630,858, which resulted principally from</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income of corporate joint ventures, increases in trade receivables, technical and income tax receivables, prepaid expenses and decreases in accrued liabilities, offset by net income, joint venture royalty receivables, inventory, depreciation and amortization expense and an increase in accounts payable. Cash flows used in operations for the three months ended November 30, 2007 was $905,868, which resulted principally from equity in income from corporate joint ventures, gain on sale of assets, decreases in accounts payable and accrued liabilities and increases in inventories and prepaid expenses, offset by net income, depreciation and amortization expense, and decreases in trade and income tax receivables.</w:t>
      </w:r>
    </w:p>
    <w:p>
      <w:pPr>
        <w:spacing w:after="0" w:line="17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Net cash provided by investing activities for the three months ended November 30, 2008 was $1,959,700 which comprised of dividends received from corporate joint ventures, offset by additions to property and equipment and investments in patents. Net cash used in investing activities for the three months ended November 30, 2007 was $20,419, which resulted from loans made, investments in joint ventures and additions to property and equipment, offset by dividends received from corporate joint ventures and the sale of a joint venture.</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used in financing activities for the three months ended November 30, 2008 was $1,132,798, which resulted primarily from bank overdrafts and repayments to the demand line of credit and principal payments on the bank loan for NTIC’s corporate headquarters building. Net cash provided by financing activities for the three months ended November 30, 2007 was $807,418, which resulted primarily from borrowings under the demand line of credit, bank overdrafts and proceeds from NTIC’s employee stock purchase plan, offset by principal payments on the bank loan for NTIC’s corporate headquarters building.</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had no material lease commitments as of November 30, 2008, except a lease agreement entered into by NTI</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Inc., a subsidiary of NTIC, for approximately 16,994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square feet of office, manufacturing, laboratory and warehouse space in Beachwood, Ohio, requiring monthly payments of $17,500, which are adjusted annually according to the annual consumer price index, through November 2014.</w:t>
      </w:r>
    </w:p>
    <w:p>
      <w:pPr>
        <w:spacing w:after="0" w:line="171"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To finance the purchase of the real estate and building for NTIC’s current corporate headquarters, in September 2006,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The loan is secured by a first lien on the real estate and building.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jc w:val="both"/>
        <w:ind w:right="120"/>
        <w:spacing w:after="0" w:line="285"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ectPr>
          <w:pgSz w:w="11900" w:h="16838" w:orient="portrait"/>
          <w:cols w:equalWidth="0" w:num="1">
            <w:col w:w="11400"/>
          </w:cols>
          <w:pgMar w:left="240" w:top="125" w:right="25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NTIC’s principal exchange rate exposure is with the Euro, the Japanese yen, Korean won and the English pound against the U.S. dollar. NTIC’s fees for technical support and other services and dividend distributions from these foreign entities are paid in foreign currencies and thus fluctuations in foreign currency exchange rates could result in declines in NTIC’s reported net income. Since NTIC’s investments in its corporate joint ventures and holding companies are accounted for using the equity method, any changes in foreign currency exchange rates would be reflected as a foreign currency translation adjustment and would not change NTIC’s equity in income of joint ventures and holding companies reflected in its consolidated statements of income. NTIC does not hedge against its foreign currency exchange rate risk.</w:t>
      </w:r>
    </w:p>
    <w:p>
      <w:pPr>
        <w:spacing w:after="0" w:line="19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NTIC’s demand line of credit bears interest at a rate based on LIBOR and thus may subject NTIC to some market risk on interest rates. As of November 30, 2008, NTIC had no borrowings under its $2,300,000 demand line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credit. As of November 30, 2008, $600,000 was committed under the demand line of credit to cover a letter of credit.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7"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color w:val="auto"/>
        </w:rPr>
        <w:t>There have been no material changes to NTIC’s critical accounting policies and estimates from the information provided in Item 7, “Management’s Discussion and Analysis of Financial Condition and Results of Operations”, included in NTIC’s annual report on Form 10-K for the fiscal year ended August 31,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These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8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5" w:lineRule="exact"/>
        <w:rPr>
          <w:sz w:val="20"/>
          <w:szCs w:val="20"/>
          <w:color w:val="auto"/>
        </w:rPr>
      </w:pPr>
    </w:p>
    <w:p>
      <w:pPr>
        <w:ind w:left="980" w:hanging="29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on NTIC’s business;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the significant downturn in the U.S. automotive industry on NTIC’s business;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technical fees and dividend distributions that NTIC receives from them;</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980" w:hanging="29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investments in research and development efforts and its need for additional capital to support such efforts;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NTIC’s existing and new products;</w:t>
      </w:r>
    </w:p>
    <w:p>
      <w:pPr>
        <w:sectPr>
          <w:pgSz w:w="11900" w:h="16838" w:orient="portrait"/>
          <w:cols w:equalWidth="0" w:num="1">
            <w:col w:w="11420"/>
          </w:cols>
          <w:pgMar w:left="240" w:top="121" w:right="239" w:bottom="0" w:gutter="0" w:footer="0" w:header="0"/>
        </w:sectPr>
      </w:pPr>
    </w:p>
    <w:bookmarkStart w:id="13" w:name="page14"/>
    <w:bookmarkEnd w:id="13"/>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NTIC emerging new businesses;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corporate joint ventures;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3" w:lineRule="exact"/>
        <w:rPr>
          <w:rFonts w:ascii="Arial" w:cs="Arial" w:eastAsia="Arial" w:hAnsi="Arial"/>
          <w:sz w:val="18"/>
          <w:szCs w:val="18"/>
          <w:color w:val="auto"/>
        </w:rPr>
      </w:pPr>
    </w:p>
    <w:p>
      <w:pPr>
        <w:ind w:left="1020" w:right="1020" w:hanging="332"/>
        <w:spacing w:after="0" w:line="275" w:lineRule="auto"/>
        <w:tabs>
          <w:tab w:leader="none" w:pos="9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effects of complying with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effects of outstanding litigation;</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 and</w:t>
      </w:r>
    </w:p>
    <w:p>
      <w:pPr>
        <w:spacing w:after="0" w:line="223" w:lineRule="exact"/>
        <w:rPr>
          <w:rFonts w:ascii="Arial" w:cs="Arial" w:eastAsia="Arial" w:hAnsi="Arial"/>
          <w:sz w:val="18"/>
          <w:szCs w:val="18"/>
          <w:color w:val="auto"/>
        </w:rPr>
      </w:pPr>
    </w:p>
    <w:p>
      <w:pPr>
        <w:ind w:left="980" w:hanging="29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3"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2008 under the heading “Part I — Item 1A. Risk Factors.”</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We wish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we may consider immaterial or do not anticipate at this time. Although we believe that the expectations reflected in our forward-looking statements are reasonable, we do not know whether our expectations will prove correct. Our expectations reflected in our forward-looking statements can be affected by inaccurate assumptions we might make or by known or unknown uncertainties and factors, including those described above. The risks and uncertainties described above are not exclusive and further information concerning us and our business, including factors that potentially could materially affect our financial results or condition, may emerge from time to time. We assume no obligation to update, amend or clarify forward-looking statements to reflect actual results or changes in factors or assumptions affecting such forward-looking statements. We advise you, however, to consult any further disclosures we make on related subjects in our annual reports on Form 10-K, quarterly reports on Form 10-Q and current reports on Form 8-K we file with or furnish to the Securities and Exchange Commission.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8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NTIC’s management is aware, however, that there is a lack of segregation of certain duties due to the small number of employees of NTIC dealing with general administrative and financial matters. However, NTIC’s management has decided that considering the employees involved and the control procedures in place, risks associated with such lack of segregation are insignificant and the potential benefits of adding employees to clearly segregate such duties do not at this time justify the expenses associated with such increases.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2008 that has materially affected, or is reasonably likely to materially affect NTIC’s internal control over financial reporting.</w:t>
      </w:r>
    </w:p>
    <w:p>
      <w:pPr>
        <w:sectPr>
          <w:pgSz w:w="11900" w:h="16838" w:orient="portrait"/>
          <w:cols w:equalWidth="0" w:num="1">
            <w:col w:w="11400"/>
          </w:cols>
          <w:pgMar w:left="240" w:top="125" w:right="259" w:bottom="0" w:gutter="0" w:footer="0" w:header="0"/>
        </w:sectPr>
      </w:pPr>
    </w:p>
    <w:bookmarkStart w:id="14" w:name="page15"/>
    <w:bookmarkEnd w:id="14"/>
    <w:p>
      <w:pPr>
        <w:spacing w:after="0"/>
        <w:tabs>
          <w:tab w:leader="none" w:pos="10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NTIC’s legal proceedings in Note 12 of its consolidated financial statements included within this report is incorporated herein by reference.</w:t>
      </w:r>
    </w:p>
    <w:p>
      <w:pPr>
        <w:spacing w:after="0" w:line="24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7"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During the three months ended November 30, 2008, NTIC did not issue any shares of its common stock or other equity securities of NTIC that were not registered under the Securities Act of 1933,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2008, NTIC did not purchase any shares of its common stock or other equity securities of NTIC.</w:t>
      </w:r>
    </w:p>
    <w:p>
      <w:pPr>
        <w:spacing w:after="0" w:line="223"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not repurchased and retired any shares of its common stock.</w:t>
      </w:r>
    </w:p>
    <w:p>
      <w:pPr>
        <w:spacing w:after="0" w:line="17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1000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4"/>
        </w:trPr>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16"/>
                <w:szCs w:val="16"/>
                <w:color w:val="auto"/>
              </w:rPr>
            </w:pPr>
          </w:p>
        </w:tc>
        <w:tc>
          <w:tcPr>
            <w:tcW w:w="10000" w:type="dxa"/>
            <w:vAlign w:val="bottom"/>
          </w:tcPr>
          <w:p>
            <w:pPr>
              <w:spacing w:after="0" w:line="195" w:lineRule="exact"/>
              <w:rPr>
                <w:sz w:val="20"/>
                <w:szCs w:val="20"/>
                <w:color w:val="auto"/>
              </w:rPr>
            </w:pPr>
            <w:r>
              <w:rPr>
                <w:rFonts w:ascii="Arial" w:cs="Arial" w:eastAsia="Arial" w:hAnsi="Arial"/>
                <w:sz w:val="18"/>
                <w:szCs w:val="18"/>
                <w:color w:val="auto"/>
                <w:w w:val="93"/>
              </w:rPr>
              <w:t>Amended and Restated Bylaws of Northern Technologies International Corporation (Incorporated by reference to Exhibit 3.1 to NTIC’s</w:t>
            </w:r>
          </w:p>
        </w:tc>
        <w:tc>
          <w:tcPr>
            <w:tcW w:w="40" w:type="dxa"/>
            <w:vAlign w:val="bottom"/>
          </w:tcPr>
          <w:p>
            <w:pPr>
              <w:spacing w:after="0"/>
              <w:rPr>
                <w:sz w:val="16"/>
                <w:szCs w:val="16"/>
                <w:color w:val="auto"/>
              </w:rPr>
            </w:pPr>
          </w:p>
        </w:tc>
      </w:tr>
      <w:tr>
        <w:trPr>
          <w:trHeight w:val="215"/>
        </w:trPr>
        <w:tc>
          <w:tcPr>
            <w:tcW w:w="1160" w:type="dxa"/>
            <w:vAlign w:val="bottom"/>
          </w:tcPr>
          <w:p>
            <w:pPr>
              <w:spacing w:after="0"/>
              <w:rPr>
                <w:sz w:val="18"/>
                <w:szCs w:val="18"/>
                <w:color w:val="auto"/>
              </w:rPr>
            </w:pP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w w:val="97"/>
              </w:rPr>
              <w:t>Current Report on Form 8-K as filed with the Securities and Exchange Commission on November 24, 2008 (File No. 001-11038))</w:t>
            </w:r>
          </w:p>
        </w:tc>
        <w:tc>
          <w:tcPr>
            <w:tcW w:w="40" w:type="dxa"/>
            <w:vAlign w:val="bottom"/>
          </w:tcPr>
          <w:p>
            <w:pPr>
              <w:spacing w:after="0"/>
              <w:rPr>
                <w:sz w:val="18"/>
                <w:szCs w:val="18"/>
                <w:color w:val="auto"/>
              </w:rPr>
            </w:pPr>
          </w:p>
        </w:tc>
      </w:tr>
      <w:tr>
        <w:trPr>
          <w:trHeight w:val="21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w w:val="91"/>
              </w:rPr>
              <w:t>Form of Indemnification Agreement between Northern Technologies International Corporation and its Directors and Officers (incorporated</w:t>
            </w:r>
          </w:p>
        </w:tc>
        <w:tc>
          <w:tcPr>
            <w:tcW w:w="40" w:type="dxa"/>
            <w:vAlign w:val="bottom"/>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by reference to Exhibit 10.1 to NTIC’s Current Report on Form 8-K as filed with the Securities and Exchange Commission on</w:t>
            </w:r>
          </w:p>
        </w:tc>
        <w:tc>
          <w:tcPr>
            <w:tcW w:w="40" w:type="dxa"/>
            <w:vAlign w:val="bottom"/>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November 24, 2008 (File No. 001-11038))</w:t>
            </w:r>
          </w:p>
        </w:tc>
        <w:tc>
          <w:tcPr>
            <w:tcW w:w="40" w:type="dxa"/>
            <w:vAlign w:val="bottom"/>
          </w:tcPr>
          <w:p>
            <w:pPr>
              <w:spacing w:after="0"/>
              <w:rPr>
                <w:sz w:val="18"/>
                <w:szCs w:val="18"/>
                <w:color w:val="auto"/>
              </w:rPr>
            </w:pPr>
          </w:p>
        </w:tc>
      </w:tr>
      <w:tr>
        <w:trPr>
          <w:trHeight w:val="21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40" w:type="dxa"/>
            <w:vAlign w:val="bottom"/>
          </w:tcPr>
          <w:p>
            <w:pPr>
              <w:spacing w:after="0"/>
              <w:rPr>
                <w:sz w:val="18"/>
                <w:szCs w:val="18"/>
                <w:color w:val="auto"/>
              </w:rPr>
            </w:pPr>
          </w:p>
        </w:tc>
      </w:tr>
      <w:tr>
        <w:trPr>
          <w:trHeight w:val="21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40" w:type="dxa"/>
            <w:vAlign w:val="bottom"/>
          </w:tcPr>
          <w:p>
            <w:pPr>
              <w:spacing w:after="0"/>
              <w:rPr>
                <w:sz w:val="18"/>
                <w:szCs w:val="18"/>
                <w:color w:val="auto"/>
              </w:rPr>
            </w:pPr>
          </w:p>
        </w:tc>
      </w:tr>
      <w:tr>
        <w:trPr>
          <w:trHeight w:val="21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c>
          <w:tcPr>
            <w:tcW w:w="40" w:type="dxa"/>
            <w:vAlign w:val="bottom"/>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Act of 2002 (furnished herewith)</w:t>
            </w:r>
          </w:p>
        </w:tc>
        <w:tc>
          <w:tcPr>
            <w:tcW w:w="40" w:type="dxa"/>
            <w:vAlign w:val="bottom"/>
          </w:tcPr>
          <w:p>
            <w:pPr>
              <w:spacing w:after="0"/>
              <w:rPr>
                <w:sz w:val="18"/>
                <w:szCs w:val="18"/>
                <w:color w:val="auto"/>
              </w:rPr>
            </w:pPr>
          </w:p>
        </w:tc>
      </w:tr>
      <w:tr>
        <w:trPr>
          <w:trHeight w:val="215"/>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Act of 2002 (furnished herewith)</w:t>
            </w:r>
          </w:p>
        </w:tc>
        <w:tc>
          <w:tcPr>
            <w:tcW w:w="40" w:type="dxa"/>
            <w:vAlign w:val="bottom"/>
          </w:tcPr>
          <w:p>
            <w:pPr>
              <w:spacing w:after="0"/>
              <w:rPr>
                <w:sz w:val="19"/>
                <w:szCs w:val="19"/>
                <w:color w:val="auto"/>
              </w:rPr>
            </w:pPr>
          </w:p>
        </w:tc>
      </w:tr>
      <w:tr>
        <w:trPr>
          <w:trHeight w:val="430"/>
        </w:trPr>
        <w:tc>
          <w:tcPr>
            <w:tcW w:w="1160" w:type="dxa"/>
            <w:vAlign w:val="bottom"/>
          </w:tcPr>
          <w:p>
            <w:pPr>
              <w:spacing w:after="0"/>
              <w:rPr>
                <w:sz w:val="24"/>
                <w:szCs w:val="24"/>
                <w:color w:val="auto"/>
              </w:rPr>
            </w:pPr>
          </w:p>
        </w:tc>
        <w:tc>
          <w:tcPr>
            <w:tcW w:w="10260" w:type="dxa"/>
            <w:vAlign w:val="bottom"/>
            <w:gridSpan w:val="2"/>
          </w:tcPr>
          <w:p>
            <w:pPr>
              <w:ind w:left="44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131"/>
        </w:trPr>
        <w:tc>
          <w:tcPr>
            <w:tcW w:w="1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82"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NORTHERN TECHNOLOGIES INTERNATIONAL CORPORATION</w:t>
      </w:r>
    </w:p>
    <w:p>
      <w:pPr>
        <w:sectPr>
          <w:pgSz w:w="11900" w:h="16838" w:orient="portrait"/>
          <w:cols w:equalWidth="0" w:num="1">
            <w:col w:w="11460"/>
          </w:cols>
          <w:pgMar w:left="240" w:top="336" w:right="199" w:bottom="594"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Arial" w:cs="Arial" w:eastAsia="Arial" w:hAnsi="Arial"/>
                <w:sz w:val="18"/>
                <w:szCs w:val="18"/>
                <w:color w:val="auto"/>
              </w:rPr>
              <w:t>Date: January 14, 2009</w:t>
            </w:r>
          </w:p>
        </w:tc>
        <w:tc>
          <w:tcPr>
            <w:tcW w:w="2800" w:type="dxa"/>
            <w:vAlign w:val="bottom"/>
          </w:tcPr>
          <w:p>
            <w:pPr>
              <w:spacing w:after="0"/>
              <w:rPr>
                <w:sz w:val="18"/>
                <w:szCs w:val="18"/>
                <w:color w:val="auto"/>
              </w:rPr>
            </w:pPr>
          </w:p>
        </w:tc>
        <w:tc>
          <w:tcPr>
            <w:tcW w:w="1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2"/>
              </w:rPr>
              <w:t>Matthew C. Wolsfeld, CPA</w:t>
            </w:r>
          </w:p>
        </w:tc>
        <w:tc>
          <w:tcPr>
            <w:tcW w:w="3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(Principal Financial and Accounting Officer and Duly Authorized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Sign on Behalf of the Registrant)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60" w:type="dxa"/>
            <w:vAlign w:val="bottom"/>
            <w:gridSpan w:val="2"/>
          </w:tcPr>
          <w:p>
            <w:pPr>
              <w:ind w:left="278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1"/>
        </w:trPr>
        <w:tc>
          <w:tcPr>
            <w:tcW w:w="20" w:type="dxa"/>
            <w:vAlign w:val="bottom"/>
          </w:tcPr>
          <w:p>
            <w:pPr>
              <w:spacing w:after="0"/>
              <w:rPr>
                <w:sz w:val="24"/>
                <w:szCs w:val="24"/>
                <w:color w:val="auto"/>
              </w:rPr>
            </w:pPr>
          </w:p>
        </w:tc>
        <w:tc>
          <w:tcPr>
            <w:tcW w:w="1380" w:type="dxa"/>
            <w:vAlign w:val="bottom"/>
            <w:gridSpan w:val="3"/>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580" w:type="dxa"/>
            <w:vAlign w:val="bottom"/>
            <w:gridSpan w:val="5"/>
          </w:tcPr>
          <w:p>
            <w:pPr>
              <w:jc w:val="center"/>
              <w:ind w:right="2752"/>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780" w:type="dxa"/>
            <w:vAlign w:val="bottom"/>
            <w:gridSpan w:val="4"/>
          </w:tcPr>
          <w:p>
            <w:pPr>
              <w:jc w:val="center"/>
              <w:ind w:left="893"/>
              <w:spacing w:after="0"/>
              <w:rPr>
                <w:sz w:val="20"/>
                <w:szCs w:val="20"/>
                <w:color w:val="auto"/>
              </w:rPr>
            </w:pPr>
            <w:r>
              <w:rPr>
                <w:rFonts w:ascii="Arial" w:cs="Arial" w:eastAsia="Arial" w:hAnsi="Arial"/>
                <w:sz w:val="18"/>
                <w:szCs w:val="18"/>
                <w:b w:val="1"/>
                <w:bCs w:val="1"/>
                <w:color w:val="auto"/>
                <w:w w:val="99"/>
              </w:rPr>
              <w:t>QUARTERLY REPORT ON FORM 10-Q</w:t>
            </w:r>
          </w:p>
        </w:tc>
        <w:tc>
          <w:tcPr>
            <w:tcW w:w="3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780" w:type="dxa"/>
            <w:vAlign w:val="bottom"/>
            <w:gridSpan w:val="4"/>
          </w:tcPr>
          <w:p>
            <w:pPr>
              <w:jc w:val="center"/>
              <w:ind w:left="873"/>
              <w:spacing w:after="0"/>
              <w:rPr>
                <w:sz w:val="20"/>
                <w:szCs w:val="20"/>
                <w:color w:val="auto"/>
              </w:rPr>
            </w:pPr>
            <w:r>
              <w:rPr>
                <w:rFonts w:ascii="Arial" w:cs="Arial" w:eastAsia="Arial" w:hAnsi="Arial"/>
                <w:sz w:val="18"/>
                <w:szCs w:val="18"/>
                <w:b w:val="1"/>
                <w:bCs w:val="1"/>
                <w:color w:val="auto"/>
              </w:rPr>
              <w:t>EXHIBIT INDEX</w:t>
            </w: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spacing w:after="0"/>
              <w:rPr>
                <w:sz w:val="24"/>
                <w:szCs w:val="24"/>
                <w:color w:val="auto"/>
              </w:rPr>
            </w:pPr>
          </w:p>
        </w:tc>
        <w:tc>
          <w:tcPr>
            <w:tcW w:w="4780" w:type="dxa"/>
            <w:vAlign w:val="bottom"/>
            <w:gridSpan w:val="4"/>
            <w:vMerge w:val="restart"/>
          </w:tcPr>
          <w:p>
            <w:pPr>
              <w:ind w:left="116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Method of Filing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440" w:type="dxa"/>
            <w:vAlign w:val="bottom"/>
          </w:tcPr>
          <w:p>
            <w:pPr>
              <w:spacing w:after="0"/>
              <w:rPr>
                <w:sz w:val="14"/>
                <w:szCs w:val="14"/>
                <w:color w:val="auto"/>
              </w:rPr>
            </w:pPr>
          </w:p>
        </w:tc>
        <w:tc>
          <w:tcPr>
            <w:tcW w:w="4780" w:type="dxa"/>
            <w:vAlign w:val="bottom"/>
            <w:gridSpan w:val="4"/>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Amended and Restated Bylaws of Northern Technologies International</w:t>
            </w:r>
          </w:p>
        </w:tc>
        <w:tc>
          <w:tcPr>
            <w:tcW w:w="2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3.1 to NTIC’s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Corporation</w:t>
            </w: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Current Report on Form 8-K as filed with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Securities and Exchange Commission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November 24, 2008 (File No. 001-11038)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5"/>
          </w:tcPr>
          <w:p>
            <w:pPr>
              <w:spacing w:after="0"/>
              <w:rPr>
                <w:sz w:val="20"/>
                <w:szCs w:val="20"/>
                <w:color w:val="auto"/>
              </w:rPr>
            </w:pPr>
            <w:r>
              <w:rPr>
                <w:rFonts w:ascii="Arial" w:cs="Arial" w:eastAsia="Arial" w:hAnsi="Arial"/>
                <w:sz w:val="18"/>
                <w:szCs w:val="18"/>
                <w:color w:val="auto"/>
                <w:w w:val="96"/>
              </w:rPr>
              <w:t>Form of Indemnification Agreement between Northern Technologies International</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Incorporated by reference to Exhibit 10.1 to NTIC’s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5"/>
          </w:tcPr>
          <w:p>
            <w:pPr>
              <w:spacing w:after="0"/>
              <w:rPr>
                <w:sz w:val="20"/>
                <w:szCs w:val="20"/>
                <w:color w:val="auto"/>
              </w:rPr>
            </w:pPr>
            <w:r>
              <w:rPr>
                <w:rFonts w:ascii="Arial" w:cs="Arial" w:eastAsia="Arial" w:hAnsi="Arial"/>
                <w:sz w:val="18"/>
                <w:szCs w:val="18"/>
                <w:color w:val="auto"/>
              </w:rPr>
              <w:t>Corporation and its Directors and Officers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Current Report on Form 8-K as filed with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Securities and Exchange Commission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November 24, 2008 (File No. 001-11038)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5"/>
          </w:tcPr>
          <w:p>
            <w:pPr>
              <w:spacing w:after="0"/>
              <w:rPr>
                <w:sz w:val="20"/>
                <w:szCs w:val="20"/>
                <w:color w:val="auto"/>
              </w:rPr>
            </w:pPr>
            <w:r>
              <w:rPr>
                <w:rFonts w:ascii="Arial" w:cs="Arial" w:eastAsia="Arial" w:hAnsi="Arial"/>
                <w:sz w:val="18"/>
                <w:szCs w:val="18"/>
                <w:color w:val="auto"/>
                <w:w w:val="97"/>
              </w:rPr>
              <w:t>Certification of Chief Executive Officer Pursuant to Section 302 of the Sarbanes-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9"/>
              </w:rPr>
              <w:t>Oxley Act of 2002</w:t>
            </w: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5"/>
          </w:tcPr>
          <w:p>
            <w:pPr>
              <w:spacing w:after="0"/>
              <w:rPr>
                <w:sz w:val="20"/>
                <w:szCs w:val="20"/>
                <w:color w:val="auto"/>
              </w:rPr>
            </w:pPr>
            <w:r>
              <w:rPr>
                <w:rFonts w:ascii="Arial" w:cs="Arial" w:eastAsia="Arial" w:hAnsi="Arial"/>
                <w:sz w:val="18"/>
                <w:szCs w:val="18"/>
                <w:color w:val="auto"/>
                <w:w w:val="98"/>
              </w:rPr>
              <w:t>Certification of Chief Financial Officer Pursuant to Section 302 of the Sarbanes-</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9"/>
              </w:rPr>
              <w:t>Oxley Act of 2002</w:t>
            </w:r>
          </w:p>
        </w:tc>
        <w:tc>
          <w:tcPr>
            <w:tcW w:w="2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5"/>
          </w:tcPr>
          <w:p>
            <w:pPr>
              <w:spacing w:after="0"/>
              <w:rPr>
                <w:sz w:val="20"/>
                <w:szCs w:val="20"/>
                <w:color w:val="auto"/>
              </w:rPr>
            </w:pPr>
            <w:r>
              <w:rPr>
                <w:rFonts w:ascii="Arial" w:cs="Arial" w:eastAsia="Arial" w:hAnsi="Arial"/>
                <w:sz w:val="18"/>
                <w:szCs w:val="18"/>
                <w:color w:val="auto"/>
                <w:w w:val="99"/>
              </w:rPr>
              <w:t>Certification of Chief Executive Officer Pursuant to 18 U.S.C. Section 1350, as</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5"/>
          </w:tcPr>
          <w:p>
            <w:pPr>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20" w:type="dxa"/>
            <w:vAlign w:val="bottom"/>
            <w:gridSpan w:val="5"/>
          </w:tcPr>
          <w:p>
            <w:pPr>
              <w:spacing w:after="0"/>
              <w:rPr>
                <w:sz w:val="20"/>
                <w:szCs w:val="20"/>
                <w:color w:val="auto"/>
              </w:rPr>
            </w:pPr>
            <w:r>
              <w:rPr>
                <w:rFonts w:ascii="Arial" w:cs="Arial" w:eastAsia="Arial" w:hAnsi="Arial"/>
                <w:sz w:val="18"/>
                <w:szCs w:val="18"/>
                <w:color w:val="auto"/>
              </w:rPr>
              <w:t>Certification of Chief Financial Officer Pursuant to 18 U.S.C. Section 1350, as</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20" w:type="dxa"/>
            <w:vAlign w:val="bottom"/>
            <w:gridSpan w:val="5"/>
          </w:tcPr>
          <w:p>
            <w:pPr>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60" w:type="dxa"/>
            <w:vAlign w:val="bottom"/>
            <w:gridSpan w:val="2"/>
          </w:tcPr>
          <w:p>
            <w:pPr>
              <w:ind w:left="278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3733800</wp:posOffset>
            </wp:positionH>
            <wp:positionV relativeFrom="page">
              <wp:posOffset>88900</wp:posOffset>
            </wp:positionV>
            <wp:extent cx="1280160" cy="699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80160" cy="699770"/>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-3956050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-3956050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2" w:right="1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3"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3" w:lineRule="exact"/>
        <w:rPr>
          <w:rFonts w:ascii="Arial" w:cs="Arial" w:eastAsia="Arial" w:hAnsi="Arial"/>
          <w:sz w:val="18"/>
          <w:szCs w:val="18"/>
          <w:color w:val="auto"/>
        </w:rPr>
      </w:pPr>
    </w:p>
    <w:p>
      <w:pPr>
        <w:jc w:val="both"/>
        <w:ind w:left="520" w:right="460" w:hanging="512"/>
        <w:spacing w:after="0" w:line="262" w:lineRule="auto"/>
        <w:tabs>
          <w:tab w:leader="none" w:pos="5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440" w:hanging="512"/>
        <w:spacing w:after="0" w:line="340" w:lineRule="auto"/>
        <w:tabs>
          <w:tab w:leader="none" w:pos="533"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60" w:hanging="512"/>
        <w:spacing w:after="0" w:line="262" w:lineRule="auto"/>
        <w:tabs>
          <w:tab w:leader="none" w:pos="5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80" w:right="80" w:firstLine="3"/>
        <w:spacing w:after="0" w:line="262" w:lineRule="auto"/>
        <w:tabs>
          <w:tab w:leader="none" w:pos="1592"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80" w:right="80" w:firstLine="3"/>
        <w:spacing w:after="0" w:line="262" w:lineRule="auto"/>
        <w:tabs>
          <w:tab w:leader="none" w:pos="1558"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2" w:lineRule="exact"/>
        <w:rPr>
          <w:rFonts w:ascii="Arial" w:cs="Arial" w:eastAsia="Arial" w:hAnsi="Arial"/>
          <w:sz w:val="18"/>
          <w:szCs w:val="18"/>
          <w:color w:val="auto"/>
        </w:rPr>
      </w:pPr>
    </w:p>
    <w:p>
      <w:pPr>
        <w:ind w:left="1080" w:right="160" w:firstLine="3"/>
        <w:spacing w:after="0" w:line="340" w:lineRule="auto"/>
        <w:tabs>
          <w:tab w:leader="none" w:pos="1592" w:val="left"/>
        </w:tabs>
        <w:numPr>
          <w:ilvl w:val="2"/>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80" w:firstLine="3"/>
        <w:spacing w:after="0" w:line="262" w:lineRule="auto"/>
        <w:tabs>
          <w:tab w:leader="none" w:pos="1558" w:val="left"/>
        </w:tabs>
        <w:numPr>
          <w:ilvl w:val="2"/>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00" w:hanging="512"/>
        <w:spacing w:after="0" w:line="306" w:lineRule="auto"/>
        <w:tabs>
          <w:tab w:leader="none" w:pos="53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20" w:hanging="6"/>
        <w:spacing w:after="0" w:line="340" w:lineRule="auto"/>
        <w:tabs>
          <w:tab w:leader="none" w:pos="1597"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100"/>
        <w:spacing w:after="0" w:line="275" w:lineRule="auto"/>
        <w:tabs>
          <w:tab w:leader="none" w:pos="15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-121920</wp:posOffset>
            </wp:positionV>
            <wp:extent cx="1724025" cy="213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24025" cy="213360"/>
                    </a:xfrm>
                    <a:prstGeom prst="rect">
                      <a:avLst/>
                    </a:prstGeom>
                    <a:noFill/>
                  </pic:spPr>
                </pic:pic>
              </a:graphicData>
            </a:graphic>
          </wp:anchor>
        </w:drawing>
      </w:r>
    </w:p>
    <w:p>
      <w:pPr>
        <w:spacing w:after="0" w:line="1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-130175</wp:posOffset>
            </wp:positionV>
            <wp:extent cx="36106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0610"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6821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3"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3" w:lineRule="exact"/>
        <w:rPr>
          <w:rFonts w:ascii="Arial" w:cs="Arial" w:eastAsia="Arial" w:hAnsi="Arial"/>
          <w:sz w:val="18"/>
          <w:szCs w:val="18"/>
          <w:color w:val="auto"/>
        </w:rPr>
      </w:pPr>
    </w:p>
    <w:p>
      <w:pPr>
        <w:jc w:val="both"/>
        <w:ind w:left="520" w:right="500" w:hanging="512"/>
        <w:spacing w:after="0" w:line="262" w:lineRule="auto"/>
        <w:tabs>
          <w:tab w:leader="none" w:pos="5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480" w:hanging="512"/>
        <w:spacing w:after="0" w:line="340" w:lineRule="auto"/>
        <w:tabs>
          <w:tab w:leader="none" w:pos="5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100" w:hanging="512"/>
        <w:spacing w:after="0" w:line="262" w:lineRule="auto"/>
        <w:tabs>
          <w:tab w:leader="none" w:pos="5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80" w:right="120" w:firstLine="3"/>
        <w:spacing w:after="0" w:line="262" w:lineRule="auto"/>
        <w:tabs>
          <w:tab w:leader="none" w:pos="1592"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80" w:right="120" w:firstLine="3"/>
        <w:spacing w:after="0" w:line="262" w:lineRule="auto"/>
        <w:tabs>
          <w:tab w:leader="none" w:pos="1558"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reparation of financial statements for external reporting purposes in accordance with generally accepted accounting principles;</w:t>
      </w:r>
    </w:p>
    <w:p>
      <w:pPr>
        <w:spacing w:after="0" w:line="182" w:lineRule="exact"/>
        <w:rPr>
          <w:rFonts w:ascii="Arial" w:cs="Arial" w:eastAsia="Arial" w:hAnsi="Arial"/>
          <w:sz w:val="18"/>
          <w:szCs w:val="18"/>
          <w:color w:val="auto"/>
        </w:rPr>
      </w:pPr>
    </w:p>
    <w:p>
      <w:pPr>
        <w:ind w:left="1080" w:right="200" w:firstLine="3"/>
        <w:spacing w:after="0" w:line="340" w:lineRule="auto"/>
        <w:tabs>
          <w:tab w:leader="none" w:pos="1592" w:val="left"/>
        </w:tabs>
        <w:numPr>
          <w:ilvl w:val="2"/>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220" w:firstLine="3"/>
        <w:spacing w:after="0" w:line="262" w:lineRule="auto"/>
        <w:tabs>
          <w:tab w:leader="none" w:pos="1558"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40" w:hanging="512"/>
        <w:spacing w:after="0" w:line="306" w:lineRule="auto"/>
        <w:tabs>
          <w:tab w:leader="none" w:pos="53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60" w:hanging="6"/>
        <w:spacing w:after="0" w:line="340" w:lineRule="auto"/>
        <w:tabs>
          <w:tab w:leader="none" w:pos="1597"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140"/>
        <w:spacing w:after="0" w:line="275" w:lineRule="auto"/>
        <w:tabs>
          <w:tab w:leader="none" w:pos="15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117475</wp:posOffset>
            </wp:positionV>
            <wp:extent cx="1450975" cy="435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0975" cy="43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40" w:type="dxa"/>
            <w:vAlign w:val="bottom"/>
          </w:tcPr>
          <w:p>
            <w:pPr>
              <w:spacing w:after="0"/>
              <w:rPr>
                <w:sz w:val="20"/>
                <w:szCs w:val="20"/>
                <w:color w:val="auto"/>
              </w:rPr>
            </w:pPr>
            <w:r>
              <w:rPr>
                <w:rFonts w:ascii="Arial" w:cs="Arial" w:eastAsia="Arial" w:hAnsi="Arial"/>
                <w:sz w:val="18"/>
                <w:szCs w:val="18"/>
                <w:color w:val="auto"/>
              </w:rPr>
              <w:t>Date: January 14, 2009</w:t>
            </w:r>
          </w:p>
        </w:tc>
        <w:tc>
          <w:tcPr>
            <w:tcW w:w="5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40" w:type="dxa"/>
            <w:vAlign w:val="bottom"/>
          </w:tcPr>
          <w:p>
            <w:pPr>
              <w:spacing w:after="0"/>
              <w:rPr>
                <w:sz w:val="18"/>
                <w:szCs w:val="18"/>
                <w:color w:val="auto"/>
              </w:rPr>
            </w:pPr>
          </w:p>
        </w:tc>
      </w:tr>
      <w:tr>
        <w:trPr>
          <w:trHeight w:val="230"/>
        </w:trPr>
        <w:tc>
          <w:tcPr>
            <w:tcW w:w="574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40" w:type="dxa"/>
            <w:vAlign w:val="bottom"/>
          </w:tcPr>
          <w:p>
            <w:pPr>
              <w:spacing w:after="0"/>
              <w:rPr>
                <w:sz w:val="19"/>
                <w:szCs w:val="19"/>
                <w:color w:val="auto"/>
              </w:rPr>
            </w:pPr>
          </w:p>
        </w:tc>
      </w:tr>
      <w:tr>
        <w:trPr>
          <w:trHeight w:val="346"/>
        </w:trPr>
        <w:tc>
          <w:tcPr>
            <w:tcW w:w="574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8" w:name="page19"/>
    <w:bookmarkEnd w:id="18"/>
    <w:p>
      <w:pPr>
        <w:ind w:left="10500"/>
        <w:spacing w:after="0"/>
        <w:rPr>
          <w:sz w:val="20"/>
          <w:szCs w:val="20"/>
          <w:color w:val="auto"/>
        </w:rPr>
      </w:pPr>
      <w:r>
        <w:rPr>
          <w:rFonts w:ascii="Arial" w:cs="Arial" w:eastAsia="Arial" w:hAnsi="Arial"/>
          <w:sz w:val="16"/>
          <w:szCs w:val="16"/>
          <w:b w:val="1"/>
          <w:bCs w:val="1"/>
          <w:color w:val="auto"/>
        </w:rPr>
        <w:t>Exhibit 32.1</w:t>
      </w:r>
    </w:p>
    <w:p>
      <w:pPr>
        <w:spacing w:after="0" w:line="246"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November 30, 2008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5" w:lineRule="exact"/>
        <w:rPr>
          <w:sz w:val="20"/>
          <w:szCs w:val="20"/>
          <w:color w:val="auto"/>
        </w:rPr>
      </w:pPr>
    </w:p>
    <w:p>
      <w:pPr>
        <w:ind w:left="1620" w:hanging="967"/>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1600" w:right="180" w:hanging="947"/>
        <w:spacing w:after="0" w:line="275" w:lineRule="auto"/>
        <w:tabs>
          <w:tab w:leader="none" w:pos="162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3636645" cy="426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36645" cy="4267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6821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10500"/>
        <w:spacing w:after="0"/>
        <w:rPr>
          <w:sz w:val="20"/>
          <w:szCs w:val="20"/>
          <w:color w:val="auto"/>
        </w:rPr>
      </w:pPr>
      <w:r>
        <w:rPr>
          <w:rFonts w:ascii="Arial" w:cs="Arial" w:eastAsia="Arial" w:hAnsi="Arial"/>
          <w:sz w:val="16"/>
          <w:szCs w:val="16"/>
          <w:b w:val="1"/>
          <w:bCs w:val="1"/>
          <w:color w:val="auto"/>
        </w:rPr>
        <w:t>Exhibit 32.2</w:t>
      </w:r>
    </w:p>
    <w:p>
      <w:pPr>
        <w:spacing w:after="0" w:line="246"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November 30, 2008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5" w:lineRule="exact"/>
        <w:rPr>
          <w:sz w:val="20"/>
          <w:szCs w:val="20"/>
          <w:color w:val="auto"/>
        </w:rPr>
      </w:pPr>
    </w:p>
    <w:p>
      <w:pPr>
        <w:ind w:left="1620" w:hanging="967"/>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1600" w:right="180" w:hanging="947"/>
        <w:spacing w:after="0" w:line="275" w:lineRule="auto"/>
        <w:tabs>
          <w:tab w:leader="none" w:pos="16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280160" cy="699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0160" cy="69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366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366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6821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decimal"/>
      <w:start w:val="8"/>
    </w:lvl>
  </w:abstractNum>
  <w:abstractNum w:abstractNumId="7">
    <w:nsid w:val="7FDCC233"/>
    <w:multiLevelType w:val="hybridMultilevel"/>
    <w:lvl w:ilvl="0">
      <w:lvlJc w:val="left"/>
      <w:lvlText w:val="%1."/>
      <w:numFmt w:val="decimal"/>
      <w:start w:val="9"/>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62BBD95A"/>
    <w:multiLevelType w:val="hybridMultilevel"/>
    <w:lvl w:ilvl="0">
      <w:lvlJc w:val="left"/>
      <w:lvlText w:val="%1"/>
      <w:numFmt w:val="upperLetter"/>
      <w:start w:val="1"/>
    </w:lvl>
    <w:lvl w:ilvl="1">
      <w:lvlJc w:val="left"/>
      <w:lvlText w:val="(%2)"/>
      <w:numFmt w:val="decimal"/>
      <w:start w:val="1"/>
    </w:lvl>
  </w:abstractNum>
  <w:abstractNum w:abstractNumId="19">
    <w:nsid w:val="436C6125"/>
    <w:multiLevelType w:val="hybridMultilevel"/>
    <w:lvl w:ilvl="0">
      <w:lvlJc w:val="left"/>
      <w:lvlText w:val="%1."/>
      <w:numFmt w:val="upperLetter"/>
      <w:start w:val="7"/>
    </w:lvl>
    <w:lvl w:ilvl="1">
      <w:lvlJc w:val="left"/>
      <w:lvlText w:val="%2"/>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2019-12-10T10:11:40Z</dcterms:created>
  <dcterms:modified xsi:type="dcterms:W3CDTF">2019-12-10T10:11:40Z</dcterms:modified>
</cp:coreProperties>
</file>