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5"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25"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________________________________________________</w:t>
      </w: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20" w:hanging="312"/>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20" w:hanging="312"/>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20" w:hanging="312"/>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534670</wp:posOffset>
            </wp:positionV>
            <wp:extent cx="1388745" cy="882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8874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January 16, 2026</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of Northern Technologies International Corporation, a Delaware corporation, will be held at our corporate executive offices located at 4201 Woodland Road, Circle Pines, Minnesota 55014, beginning at 8:00 a.m., Central Standard Time, on Friday, January 16, 2026, for the following purposes:</w:t>
      </w:r>
    </w:p>
    <w:p>
      <w:pPr>
        <w:spacing w:after="0" w:line="176" w:lineRule="exact"/>
        <w:rPr>
          <w:sz w:val="20"/>
          <w:szCs w:val="20"/>
          <w:color w:val="auto"/>
        </w:rPr>
      </w:pPr>
    </w:p>
    <w:p>
      <w:pPr>
        <w:ind w:left="660" w:right="5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persons to serve as directors until our next annual meeting of stockholders or until their respective successors are elected and qualified.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the accompanying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whether future votes to approve executive compensation should occur every one year, two years, or three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Baker Tilly US, LLP as our independent registered public accounting firm for the fiscal year ending August 31, 2026.</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of the meeting.</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Only those stockholders of record at the close of business on November 18, 2025 will be entitled to notice of, and to vote at, the meeting and any adjournments thereof. A stockholder list will be available at our corporate offices beginning January 6, 2026 during normal business hours for examination by any stockholder registered on NTIC’s stock ledger as of the record date, November 18, 2025, for any purpose germane to the Annual Meeting.</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145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C. Wolsfeld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41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415290"/>
                    </a:xfrm>
                    <a:prstGeom prst="rect">
                      <a:avLst/>
                    </a:prstGeom>
                    <a:noFill/>
                  </pic:spPr>
                </pic:pic>
              </a:graphicData>
            </a:graphic>
          </wp:anchor>
        </w:drawing>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Important: Whether or not you expect to attend the meeting in person, please vote by the Internet or telephone, or request a paper proxy card to sign, date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677"/>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 SUMMARY</w:t>
            </w:r>
          </w:p>
        </w:tc>
        <w:tc>
          <w:tcPr>
            <w:tcW w:w="2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GENERAL INFORMATION ABOUT THE ANNUAL MEETING AND VOTING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Date, Time, Place and Purposes of Meeting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Who Can Vote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How You Can Vote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How Does the Board Recommend that You Vote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How You May Change Your Vote or Revoke Your Proxy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Quorum Requirement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Vote Required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Business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Procedures at the Annual Meeting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Householding of Annual Meeting Materials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Proxy Solicitation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PROPOSAL ONE—ELECTION OF DIRECTORS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Number of Directors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Nominees for Director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Current Directors and Board Nominees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about Current Directors and Board Nominees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Board Recommendation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PROPOSAL TWO—ADVISORY VOTE ON EXECUTIVE COMPENSATION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Why You Should Vote in Favor of Our Say-on-Pay Vote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Proposed Resolution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Next Say-on-Pay Vote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Board Recommendation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PROPOSAL THREE—ADVISORY VOTE ON THE FREQUENCY OF FUTURE ADVISORY VOTES ON EXECUTIVE COMPENSATION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Background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Reasons for an Annual Say-on-Pay Vote Recommendation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Board Recommendation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PROPOSAL FOUR—RATIFICATION OF APPOINTMENT OF INDEPENDENT REGISTERED PUBLIC ACCOUNTING FIRM</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Independent Registered Public Accounting Firm</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Audit, Audit-Related, Tax and Other Fees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Pre-Approval Policies and Procedures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Board Recommendation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STOCK OWNERSHIP</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Beneficial Ownership of Significant Stockholders and Management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Stock Ownership Guidelines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Governance Best Practices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 Guidelines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Board Leadership Structure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Director Independence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Board Meetings and Attendance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06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0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Board Committees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Nominations Process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Board Oversight of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Board Oversight of Strategy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Board and Board Committee Evaluations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Code of Ethics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No Political Contributions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Policy Regarding Director Attendance at Annual Meetings of Stockholders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Complaint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 Engagement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Process Regarding Stockholder Communications with Board of Directors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Summary of Cash and Other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Non-Employee Director Compensation Program</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Consulting 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Review</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Summary of Cash and Other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Equity Awards at Fiscal Year End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Policies and Practices Related to the Grant of Certain Equity Awards Close to Time to the Release of Material Nonpublic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Stock Incentive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Post-Termination Severance and Change in Control Arrangements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Pay Versus Performance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RELATED PERSON RELATIONSHIPS AND 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Procedures Regarding Approval of Related Party 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Related Party Transactions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 PROPOSALS AND DIRECTOR NOMINATIONS FOR 2027 ANNUAL MEETING OF STOCKHOLDERS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FISCAL 2025 ANNUAL REPORT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1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proxy statement to:</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“we,” “us,” “our,” or the “Company” refer to Northern Technologies International Corporation;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 to the Board of Directors of NTIC;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Meeting” refer to our 2026 Annual Meeting of Stockholders; and</w:t>
      </w:r>
    </w:p>
    <w:p>
      <w:pPr>
        <w:spacing w:after="0" w:line="9" w:lineRule="exact"/>
        <w:rPr>
          <w:rFonts w:ascii="Times New Roman" w:cs="Times New Roman" w:eastAsia="Times New Roman" w:hAnsi="Times New Roman"/>
          <w:sz w:val="18"/>
          <w:szCs w:val="18"/>
          <w:color w:val="auto"/>
        </w:rPr>
      </w:pPr>
    </w:p>
    <w:p>
      <w:pPr>
        <w:jc w:val="both"/>
        <w:ind w:left="660" w:right="680" w:hanging="328"/>
        <w:spacing w:after="0" w:line="29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2025 Annual Report” or “Fiscal 2025 Annual Report to Stockholders” refer to our Annual Report to Stockholders for fiscal 2025, including our Annual Report on Form 10-K for the year ended August 31, 2025, being made available together with this proxy statement.</w:t>
      </w:r>
    </w:p>
    <w:p>
      <w:pPr>
        <w:spacing w:after="0" w:line="15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Information on our website and any other website referenced herein is not incorporated by reference into, and does not constitute a part of, this proxy statement.</w:t>
      </w:r>
    </w:p>
    <w:p>
      <w:pPr>
        <w:spacing w:after="0" w:line="162" w:lineRule="exact"/>
        <w:rPr>
          <w:sz w:val="20"/>
          <w:szCs w:val="20"/>
          <w:color w:val="auto"/>
        </w:rPr>
      </w:pPr>
    </w:p>
    <w:p>
      <w:pPr>
        <w:ind w:right="220" w:firstLine="8"/>
        <w:spacing w:after="0" w:line="282" w:lineRule="auto"/>
        <w:tabs>
          <w:tab w:leader="none" w:pos="2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denote trademarks and registered trademarks of Northern Technologies International Corporation or our affiliates, registered as indicated in the United States. All other trademarks and trade names referred to in this proxy statement are the property of their respective owners.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This executive summary provides an overview of the information included in this proxy statement. We recommend that you review the entire proxy statement and our Fiscal 2025 Annual Report to Stockholders before voting.</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DATE AND TIME</w:t>
      </w:r>
    </w:p>
    <w:p>
      <w:pPr>
        <w:spacing w:after="0" w:line="175" w:lineRule="exact"/>
        <w:rPr>
          <w:sz w:val="20"/>
          <w:szCs w:val="20"/>
          <w:color w:val="auto"/>
        </w:rPr>
      </w:pPr>
    </w:p>
    <w:p>
      <w:pPr>
        <w:jc w:val="both"/>
        <w:ind w:left="40" w:right="260"/>
        <w:spacing w:after="0" w:line="282" w:lineRule="auto"/>
        <w:rPr>
          <w:sz w:val="20"/>
          <w:szCs w:val="20"/>
          <w:color w:val="auto"/>
        </w:rPr>
      </w:pPr>
      <w:r>
        <w:rPr>
          <w:rFonts w:ascii="Times New Roman" w:cs="Times New Roman" w:eastAsia="Times New Roman" w:hAnsi="Times New Roman"/>
          <w:sz w:val="18"/>
          <w:szCs w:val="18"/>
          <w:color w:val="auto"/>
        </w:rPr>
        <w:t>Friday, January 16, 2026 8:00 a.m. (Central Time)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4201 Woodland Road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Circle Pines, MN 55014</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18, 2025</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6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120" w:type="dxa"/>
            <w:vAlign w:val="bottom"/>
            <w:shd w:val="clear" w:color="auto" w:fill="DDDDDD"/>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Board</w:t>
            </w: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b w:val="1"/>
                <w:bCs w:val="1"/>
                <w:color w:val="auto"/>
                <w:w w:val="96"/>
              </w:rPr>
              <w:t>s Vote</w:t>
            </w:r>
          </w:p>
        </w:tc>
        <w:tc>
          <w:tcPr>
            <w:tcW w:w="134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30"/>
        </w:trPr>
        <w:tc>
          <w:tcPr>
            <w:tcW w:w="4960" w:type="dxa"/>
            <w:vAlign w:val="bottom"/>
            <w:vMerge w:val="continue"/>
            <w:shd w:val="clear" w:color="auto" w:fill="DDDDDD"/>
          </w:tcPr>
          <w:p>
            <w:pPr>
              <w:spacing w:after="0"/>
              <w:rPr>
                <w:sz w:val="11"/>
                <w:szCs w:val="11"/>
                <w:color w:val="auto"/>
              </w:rPr>
            </w:pPr>
          </w:p>
        </w:tc>
        <w:tc>
          <w:tcPr>
            <w:tcW w:w="2120" w:type="dxa"/>
            <w:vAlign w:val="bottom"/>
            <w:vMerge w:val="restart"/>
            <w:shd w:val="clear" w:color="auto" w:fill="DDDDDD"/>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1340" w:type="dxa"/>
            <w:vAlign w:val="bottom"/>
            <w:vMerge w:val="continue"/>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60" w:type="dxa"/>
            <w:vAlign w:val="bottom"/>
            <w:tcBorders>
              <w:bottom w:val="single" w:sz="8" w:color="auto"/>
            </w:tcBorders>
            <w:shd w:val="clear" w:color="auto" w:fill="DDDDDD"/>
          </w:tcPr>
          <w:p>
            <w:pPr>
              <w:spacing w:after="0"/>
              <w:rPr>
                <w:sz w:val="9"/>
                <w:szCs w:val="9"/>
                <w:color w:val="auto"/>
              </w:rPr>
            </w:pPr>
          </w:p>
        </w:tc>
        <w:tc>
          <w:tcPr>
            <w:tcW w:w="2120" w:type="dxa"/>
            <w:vAlign w:val="bottom"/>
            <w:tcBorders>
              <w:bottom w:val="single" w:sz="8" w:color="auto"/>
            </w:tcBorders>
            <w:vMerge w:val="continue"/>
            <w:shd w:val="clear" w:color="auto" w:fill="DDDDDD"/>
          </w:tcPr>
          <w:p>
            <w:pPr>
              <w:spacing w:after="0"/>
              <w:rPr>
                <w:sz w:val="9"/>
                <w:szCs w:val="9"/>
                <w:color w:val="auto"/>
              </w:rPr>
            </w:pPr>
          </w:p>
        </w:tc>
        <w:tc>
          <w:tcPr>
            <w:tcW w:w="1340" w:type="dxa"/>
            <w:vAlign w:val="bottom"/>
            <w:tcBorders>
              <w:bottom w:val="single" w:sz="8" w:color="auto"/>
            </w:tcBorders>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Proposal One: Election of directors</w:t>
            </w:r>
          </w:p>
        </w:tc>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48"/>
        </w:trPr>
        <w:tc>
          <w:tcPr>
            <w:tcW w:w="49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Proposal Two: Advisory vote on executive compensation</w:t>
            </w:r>
          </w:p>
        </w:tc>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0"/>
        </w:trPr>
        <w:tc>
          <w:tcPr>
            <w:tcW w:w="49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Proposal Three: Advisory vote on frequency of advisory vote on</w:t>
            </w:r>
          </w:p>
        </w:tc>
        <w:tc>
          <w:tcPr>
            <w:tcW w:w="2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26"/>
        </w:trPr>
        <w:tc>
          <w:tcPr>
            <w:tcW w:w="4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21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9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Proposal Four: Ratification of appointment of independent</w:t>
            </w:r>
          </w:p>
        </w:tc>
        <w:tc>
          <w:tcPr>
            <w:tcW w:w="21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26"/>
        </w:trPr>
        <w:tc>
          <w:tcPr>
            <w:tcW w:w="49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21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00" w:space="720"/>
            <w:col w:w="8420"/>
          </w:cols>
          <w:pgMar w:left="320" w:top="576" w:right="339" w:bottom="1440" w:gutter="0" w:footer="0" w:header="0"/>
          <w:type w:val="continuous"/>
        </w:sectPr>
      </w:pPr>
    </w:p>
    <w:p>
      <w:pPr>
        <w:spacing w:after="0" w:line="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Holders of record of our common stock at the close of business on November 18, 2025 are entitled to notice of, to attend, and to vote at the 2026 Annual Meeting of Stockholders or any continuation, postponement, or adjournment thereof.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or about December 1, 2025, we expect to begin mailing a Notice of Internet Availability of Proxy Materials to stockholders of record as of November 18, 2025 and post our proxy materials on the website referenced in the Notice of Internet Availability of Proxy Materials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JANUARY 16, 2026</w:t>
      </w:r>
    </w:p>
    <w:p>
      <w:pPr>
        <w:spacing w:after="0" w:line="1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and our Fiscal 2025 Annual Report to Stockholders are available on the Internet, free of charge,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On this website, you will be able to access this proxy statement, our Fiscal 2025 Annual Report to Stockholders, and any amendments or supplements to these materials that are required to be furnished to stockholders. We encourage you to access and review all of the important information contained in the proxy materials before voting.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FISCAL 2025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highlights of our financial, operational and strategic performance during fiscal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8400" w:type="dxa"/>
            <w:vAlign w:val="bottom"/>
            <w:shd w:val="clear" w:color="auto" w:fill="DDDDDD"/>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Our net sales were $84.2 million during fiscal 2025, a slight decrease from last fiscal year’s record net sales.</w:t>
            </w:r>
          </w:p>
        </w:tc>
      </w:tr>
      <w:tr>
        <w:trPr>
          <w:trHeight w:val="39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Reflecting a challenging macroenvironment, our net income attributable to NTIC decreased to $18,000, or</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$0.00 per diluted common share, for fiscal 2025 compared to $5.4 million, or $0.55 per diluted common share,</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fiscal 2024. This decrease was primarily due to increases in operating expenses, decreases in gross margin</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income from our joint venture operations and the other expense incurred as a result of a Chinese Customs</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 and was partially offset by a one-time employee retention credit payment.</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Quarterly Cash Dividends</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While we paid a quarterly cash dividend of $0.07 per share for the first and second quarters of fiscal 2025, we</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reduced our quarterly cash dividend to $0.01 per share for the third and fourth quarters of fiscal 2025 to</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conserve cash resources.</w:t>
            </w:r>
          </w:p>
        </w:tc>
      </w:tr>
      <w:tr>
        <w:trPr>
          <w:trHeight w:val="216"/>
        </w:trPr>
        <w:tc>
          <w:tcPr>
            <w:tcW w:w="2840" w:type="dxa"/>
            <w:vAlign w:val="bottom"/>
          </w:tcPr>
          <w:p>
            <w:pPr>
              <w:spacing w:after="0"/>
              <w:rPr>
                <w:sz w:val="18"/>
                <w:szCs w:val="18"/>
                <w:color w:val="auto"/>
              </w:rPr>
            </w:pPr>
          </w:p>
        </w:tc>
        <w:tc>
          <w:tcPr>
            <w:tcW w:w="8400" w:type="dxa"/>
            <w:vAlign w:val="bottom"/>
          </w:tcPr>
          <w:p>
            <w:pPr>
              <w:spacing w:after="0"/>
              <w:rPr>
                <w:sz w:val="18"/>
                <w:szCs w:val="18"/>
                <w:color w:val="auto"/>
              </w:rPr>
            </w:pPr>
          </w:p>
        </w:tc>
      </w:tr>
      <w:tr>
        <w:trPr>
          <w:trHeight w:val="216"/>
        </w:trPr>
        <w:tc>
          <w:tcPr>
            <w:tcW w:w="28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8400" w:type="dxa"/>
            <w:vAlign w:val="bottom"/>
            <w:shd w:val="clear" w:color="auto" w:fill="DDDDDD"/>
          </w:tcPr>
          <w:p>
            <w:pPr>
              <w:spacing w:after="0"/>
              <w:rPr>
                <w:sz w:val="18"/>
                <w:szCs w:val="18"/>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15 Joint Ventures</w:t>
            </w:r>
          </w:p>
        </w:tc>
        <w:tc>
          <w:tcPr>
            <w:tcW w:w="8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Our 15 active joint ventures provide us with access to global markets with an annual global market potential</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estimated at $500 million.</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12 Operating Subsidiaries</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 maintain 12 wholly or majority-owned operating subsidiaries in North America, South America, Europe</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Asia.</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Over 65 Countries</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Our network of joint ventures and subsidiaries allows us to operate in over 65 countries worldwide, allowing</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to reach customers globally.</w:t>
            </w:r>
          </w:p>
        </w:tc>
      </w:tr>
      <w:tr>
        <w:trPr>
          <w:trHeight w:val="216"/>
        </w:trPr>
        <w:tc>
          <w:tcPr>
            <w:tcW w:w="2840" w:type="dxa"/>
            <w:vAlign w:val="bottom"/>
          </w:tcPr>
          <w:p>
            <w:pPr>
              <w:spacing w:after="0"/>
              <w:rPr>
                <w:sz w:val="18"/>
                <w:szCs w:val="18"/>
                <w:color w:val="auto"/>
              </w:rPr>
            </w:pPr>
          </w:p>
        </w:tc>
        <w:tc>
          <w:tcPr>
            <w:tcW w:w="8400" w:type="dxa"/>
            <w:vAlign w:val="bottom"/>
          </w:tcPr>
          <w:p>
            <w:pPr>
              <w:spacing w:after="0"/>
              <w:rPr>
                <w:sz w:val="18"/>
                <w:szCs w:val="18"/>
                <w:color w:val="auto"/>
              </w:rPr>
            </w:pPr>
          </w:p>
        </w:tc>
      </w:tr>
      <w:tr>
        <w:trPr>
          <w:trHeight w:val="216"/>
        </w:trPr>
        <w:tc>
          <w:tcPr>
            <w:tcW w:w="28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STRATEGIC</w:t>
            </w:r>
          </w:p>
        </w:tc>
        <w:tc>
          <w:tcPr>
            <w:tcW w:w="8400" w:type="dxa"/>
            <w:vAlign w:val="bottom"/>
            <w:shd w:val="clear" w:color="auto" w:fill="DDDDDD"/>
          </w:tcPr>
          <w:p>
            <w:pPr>
              <w:spacing w:after="0"/>
              <w:rPr>
                <w:sz w:val="18"/>
                <w:szCs w:val="18"/>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Industrial Manufacturing Industry</w:t>
            </w:r>
          </w:p>
        </w:tc>
        <w:tc>
          <w:tcPr>
            <w:tcW w:w="8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ZERUST® rust and corrosion inhibiting packaging solutions resolve corrosion problems while reducing</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 increasing productivity and enhancing customer satisfaction. During fiscal 2025,</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ZERUST® industrial sales increased by 2.4% compared to fiscal 2024 as a result of increased demand for</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American products.</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Oil and Gas Industry</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Our global network of trained corrosion management professionals and channel partners help us develop</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specialized corrosion mitigation solutions for the oil and gas industry, provide local support, and conduct client</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training. ZERUST® Oil &amp; Gas net sales were $7.3 million, down from record sales in fiscal 2024.</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Bioplastics Industry</w:t>
            </w: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Our Natur-Tec® biobased and compostable plastics are manufactured using NTIC’s patented and/or</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proprietary technologies and are intended to replace conventional plastics and thereby reduce our</w:t>
            </w:r>
          </w:p>
        </w:tc>
      </w:tr>
      <w:tr>
        <w:trPr>
          <w:trHeight w:val="216"/>
        </w:trPr>
        <w:tc>
          <w:tcPr>
            <w:tcW w:w="284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customers’ carbon footprint and provide environmentally sound waste disposal options. Natur-Tec® net sales</w:t>
            </w:r>
          </w:p>
        </w:tc>
      </w:tr>
      <w:tr>
        <w:trPr>
          <w:trHeight w:val="234"/>
        </w:trPr>
        <w:tc>
          <w:tcPr>
            <w:tcW w:w="284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were $21.7 million, down from record sales in fiscal 2024.</w:t>
            </w:r>
          </w:p>
        </w:tc>
      </w:tr>
      <w:tr>
        <w:trPr>
          <w:trHeight w:val="432"/>
        </w:trPr>
        <w:tc>
          <w:tcPr>
            <w:tcW w:w="2840" w:type="dxa"/>
            <w:vAlign w:val="bottom"/>
          </w:tcPr>
          <w:p>
            <w:pPr>
              <w:spacing w:after="0"/>
              <w:rPr>
                <w:sz w:val="24"/>
                <w:szCs w:val="24"/>
                <w:color w:val="auto"/>
              </w:rPr>
            </w:pPr>
          </w:p>
        </w:tc>
        <w:tc>
          <w:tcPr>
            <w:tcW w:w="84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840" w:type="dxa"/>
            <w:vAlign w:val="bottom"/>
            <w:tcBorders>
              <w:bottom w:val="single" w:sz="8" w:color="auto"/>
            </w:tcBorders>
          </w:tcPr>
          <w:p>
            <w:pPr>
              <w:spacing w:after="0"/>
              <w:rPr>
                <w:sz w:val="10"/>
                <w:szCs w:val="10"/>
                <w:color w:val="auto"/>
              </w:rPr>
            </w:pPr>
          </w:p>
        </w:tc>
        <w:tc>
          <w:tcPr>
            <w:tcW w:w="8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13"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Annual election of directors</w:t>
      </w:r>
    </w:p>
    <w:p>
      <w:pPr>
        <w:spacing w:after="0" w:line="63"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75% independent directors</w:t>
      </w:r>
    </w:p>
    <w:p>
      <w:pPr>
        <w:spacing w:after="0" w:line="9"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Independent Board Chair</w:t>
      </w:r>
    </w:p>
    <w:p>
      <w:pPr>
        <w:spacing w:after="0" w:line="9"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Three fully independent Board committees</w:t>
      </w:r>
    </w:p>
    <w:p>
      <w:pPr>
        <w:spacing w:after="0" w:line="9"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Corporate governance guidelines</w:t>
      </w:r>
    </w:p>
    <w:p>
      <w:pPr>
        <w:spacing w:after="0" w:line="9"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Annual review of governance documents</w:t>
      </w:r>
    </w:p>
    <w:p>
      <w:pPr>
        <w:spacing w:after="0" w:line="9" w:lineRule="exact"/>
        <w:rPr>
          <w:sz w:val="20"/>
          <w:szCs w:val="20"/>
          <w:color w:val="auto"/>
        </w:rPr>
      </w:pPr>
    </w:p>
    <w:p>
      <w:pPr>
        <w:ind w:left="180"/>
        <w:spacing w:after="0"/>
        <w:tabs>
          <w:tab w:leader="none" w:pos="17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Stock ownership guidelines for executive officers and</w:t>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1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Recent Board committee Chair rotations</w:t>
      </w:r>
    </w:p>
    <w:p>
      <w:pPr>
        <w:spacing w:after="0" w:line="63" w:lineRule="exact"/>
        <w:rPr>
          <w:sz w:val="20"/>
          <w:szCs w:val="20"/>
          <w:color w:val="auto"/>
        </w:rPr>
      </w:pPr>
    </w:p>
    <w:p>
      <w:pPr>
        <w:spacing w:after="0"/>
        <w:tabs>
          <w:tab w:leader="none" w:pos="1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poison pill</w:t>
      </w:r>
    </w:p>
    <w:p>
      <w:pPr>
        <w:spacing w:after="0" w:line="9" w:lineRule="exact"/>
        <w:rPr>
          <w:sz w:val="20"/>
          <w:szCs w:val="20"/>
          <w:color w:val="auto"/>
        </w:rPr>
      </w:pPr>
    </w:p>
    <w:p>
      <w:pPr>
        <w:spacing w:after="0"/>
        <w:tabs>
          <w:tab w:leader="none" w:pos="1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Annual say-on-pay vote</w:t>
      </w:r>
    </w:p>
    <w:p>
      <w:pPr>
        <w:spacing w:after="0" w:line="9" w:lineRule="exact"/>
        <w:rPr>
          <w:sz w:val="20"/>
          <w:szCs w:val="20"/>
          <w:color w:val="auto"/>
        </w:rPr>
      </w:pPr>
    </w:p>
    <w:p>
      <w:pPr>
        <w:spacing w:after="0"/>
        <w:tabs>
          <w:tab w:leader="none" w:pos="1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Robust clawback policy</w:t>
      </w:r>
    </w:p>
    <w:p>
      <w:pPr>
        <w:spacing w:after="0" w:line="9" w:lineRule="exact"/>
        <w:rPr>
          <w:sz w:val="20"/>
          <w:szCs w:val="20"/>
          <w:color w:val="auto"/>
        </w:rPr>
      </w:pPr>
    </w:p>
    <w:p>
      <w:pPr>
        <w:spacing w:after="0"/>
        <w:tabs>
          <w:tab w:leader="none" w:pos="1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guaranteed bonuses or significant perks</w:t>
      </w:r>
    </w:p>
    <w:p>
      <w:pPr>
        <w:spacing w:after="0" w:line="9" w:lineRule="exact"/>
        <w:rPr>
          <w:sz w:val="20"/>
          <w:szCs w:val="20"/>
          <w:color w:val="auto"/>
        </w:rPr>
      </w:pPr>
    </w:p>
    <w:p>
      <w:pPr>
        <w:spacing w:after="0"/>
        <w:tabs>
          <w:tab w:leader="none" w:pos="18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Limits on other board memberships</w:t>
      </w:r>
    </w:p>
    <w:p>
      <w:pPr>
        <w:spacing w:after="0" w:line="9" w:lineRule="exact"/>
        <w:rPr>
          <w:sz w:val="20"/>
          <w:szCs w:val="20"/>
          <w:color w:val="auto"/>
        </w:rPr>
      </w:pPr>
    </w:p>
    <w:p>
      <w:pPr>
        <w:spacing w:after="0"/>
        <w:tabs>
          <w:tab w:leader="none" w:pos="1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Board oversight of cybersecurity and other key</w:t>
      </w:r>
    </w:p>
    <w:p>
      <w:pPr>
        <w:spacing w:after="0" w:line="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risks</w:t>
      </w:r>
    </w:p>
    <w:p>
      <w:pPr>
        <w:spacing w:after="0" w:line="607" w:lineRule="exact"/>
        <w:rPr>
          <w:sz w:val="20"/>
          <w:szCs w:val="20"/>
          <w:color w:val="auto"/>
        </w:rPr>
      </w:pPr>
    </w:p>
    <w:p>
      <w:pPr>
        <w:sectPr>
          <w:pgSz w:w="11900" w:h="16838" w:orient="portrait"/>
          <w:cols w:equalWidth="0" w:num="2">
            <w:col w:w="5660" w:space="200"/>
            <w:col w:w="5380"/>
          </w:cols>
          <w:pgMar w:left="320" w:top="576" w:right="339" w:bottom="1440" w:gutter="0" w:footer="0" w:header="0"/>
          <w:type w:val="continuous"/>
        </w:sectPr>
      </w:pPr>
    </w:p>
    <w:p>
      <w:pPr>
        <w:spacing w:after="0" w:line="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committed to a robust and proactive stockholder engagement program. The Board of Directors values the perspectives of our stockholders, and feedback from stockholders on our business, corporate governance, executive compensation, and sustainability practices are important considerations for Board discussions throughout the year. Some of the actions we have taken in response to feedback from proxy advisory firms and stockholders over the last several years are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What We Heard</w:t>
            </w:r>
          </w:p>
        </w:tc>
        <w:tc>
          <w:tcPr>
            <w:tcW w:w="644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18"/>
                <w:szCs w:val="18"/>
                <w:b w:val="1"/>
                <w:bCs w:val="1"/>
                <w:color w:val="auto"/>
              </w:rPr>
              <w:t>What We Did</w:t>
            </w:r>
          </w:p>
        </w:tc>
      </w:tr>
      <w:tr>
        <w:trPr>
          <w:trHeight w:val="191"/>
        </w:trPr>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Encourage Board refreshment</w:t>
            </w:r>
          </w:p>
        </w:tc>
        <w:tc>
          <w:tcPr>
            <w:tcW w:w="6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 added Cristina Pinho to our Board in January 2023 and rotated our Compensation</w:t>
            </w:r>
          </w:p>
        </w:tc>
      </w:tr>
      <w:tr>
        <w:trPr>
          <w:trHeight w:val="216"/>
        </w:trPr>
        <w:tc>
          <w:tcPr>
            <w:tcW w:w="48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and Nominating and Corporate Governance Committee Chairs in November</w:t>
            </w:r>
          </w:p>
        </w:tc>
      </w:tr>
      <w:tr>
        <w:trPr>
          <w:trHeight w:val="234"/>
        </w:trPr>
        <w:tc>
          <w:tcPr>
            <w:tcW w:w="48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r>
      <w:tr>
        <w:trPr>
          <w:trHeight w:val="191"/>
        </w:trPr>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Increase stockholder influence over director elections</w:t>
            </w:r>
          </w:p>
        </w:tc>
        <w:tc>
          <w:tcPr>
            <w:tcW w:w="6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 adopted a “plurality plus” vote standard for uncontested director elections, with a</w:t>
            </w:r>
          </w:p>
        </w:tc>
      </w:tr>
      <w:tr>
        <w:trPr>
          <w:trHeight w:val="234"/>
        </w:trPr>
        <w:tc>
          <w:tcPr>
            <w:tcW w:w="48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 resignation policy, instead of a simple plurality vote standard.</w:t>
            </w:r>
          </w:p>
        </w:tc>
      </w:tr>
      <w:tr>
        <w:trPr>
          <w:trHeight w:val="191"/>
        </w:trPr>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Align long-term incentives</w:t>
            </w:r>
          </w:p>
        </w:tc>
        <w:tc>
          <w:tcPr>
            <w:tcW w:w="6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 extended the vesting of our annual stock option grants to three-year vesting in</w:t>
            </w:r>
          </w:p>
        </w:tc>
      </w:tr>
      <w:tr>
        <w:trPr>
          <w:trHeight w:val="234"/>
        </w:trPr>
        <w:tc>
          <w:tcPr>
            <w:tcW w:w="48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response to a concern raised by one of our institutional stockholders.</w:t>
            </w:r>
          </w:p>
        </w:tc>
      </w:tr>
      <w:tr>
        <w:trPr>
          <w:trHeight w:val="191"/>
        </w:trPr>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Increase visibility of Environmental, Social and Governance</w:t>
            </w:r>
          </w:p>
        </w:tc>
        <w:tc>
          <w:tcPr>
            <w:tcW w:w="6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 adopted a Health, Safety and Environment Policy and Human Rights Policy to</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(“ESG”) principles</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formalize our approach and further our goals with respect to these matters, as described</w:t>
            </w:r>
          </w:p>
        </w:tc>
      </w:tr>
      <w:tr>
        <w:trPr>
          <w:trHeight w:val="216"/>
        </w:trPr>
        <w:tc>
          <w:tcPr>
            <w:tcW w:w="48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below. We also added an ESG section to our investor relations website to increase</w:t>
            </w:r>
          </w:p>
        </w:tc>
      </w:tr>
      <w:tr>
        <w:trPr>
          <w:trHeight w:val="234"/>
        </w:trPr>
        <w:tc>
          <w:tcPr>
            <w:tcW w:w="48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visibility of our ESG efforts.</w:t>
            </w:r>
          </w:p>
        </w:tc>
      </w:tr>
      <w:tr>
        <w:trPr>
          <w:trHeight w:val="191"/>
        </w:trPr>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Ensure the recovery of incentive compensation based on incorrect</w:t>
            </w:r>
          </w:p>
        </w:tc>
        <w:tc>
          <w:tcPr>
            <w:tcW w:w="64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We adopted a robust, Nasdaq-compliant clawback policy which applies not only to</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calculations or egregious behavior</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restatements, but also if a financial metric used to determine the vesting or</w:t>
            </w:r>
          </w:p>
        </w:tc>
      </w:tr>
      <w:tr>
        <w:trPr>
          <w:trHeight w:val="216"/>
        </w:trPr>
        <w:tc>
          <w:tcPr>
            <w:tcW w:w="4800" w:type="dxa"/>
            <w:vAlign w:val="bottom"/>
          </w:tcPr>
          <w:p>
            <w:pPr>
              <w:spacing w:after="0"/>
              <w:rPr>
                <w:sz w:val="18"/>
                <w:szCs w:val="18"/>
                <w:color w:val="auto"/>
              </w:rPr>
            </w:pP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compensation was calculated incorrectly or if an executive engages in</w:t>
            </w:r>
          </w:p>
        </w:tc>
      </w:tr>
      <w:tr>
        <w:trPr>
          <w:trHeight w:val="234"/>
        </w:trPr>
        <w:tc>
          <w:tcPr>
            <w:tcW w:w="48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egregious conduct that is substantially detrimental to NTIC.</w:t>
            </w:r>
          </w:p>
        </w:tc>
      </w:tr>
      <w:tr>
        <w:trPr>
          <w:trHeight w:val="191"/>
        </w:trPr>
        <w:tc>
          <w:tcPr>
            <w:tcW w:w="11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Align the interests of executive officers and directors with those of We adopted stock ownership guidelines applicable to our executive officers and</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to ensure that their interests would be closely aligned with those of our</w:t>
            </w:r>
          </w:p>
        </w:tc>
      </w:tr>
      <w:tr>
        <w:trPr>
          <w:trHeight w:val="234"/>
        </w:trPr>
        <w:tc>
          <w:tcPr>
            <w:tcW w:w="4800" w:type="dxa"/>
            <w:vAlign w:val="bottom"/>
            <w:tcBorders>
              <w:bottom w:val="single" w:sz="8" w:color="auto"/>
            </w:tcBorders>
          </w:tcPr>
          <w:p>
            <w:pPr>
              <w:spacing w:after="0"/>
              <w:rPr>
                <w:sz w:val="20"/>
                <w:szCs w:val="20"/>
                <w:color w:val="auto"/>
              </w:rPr>
            </w:pPr>
          </w:p>
        </w:tc>
        <w:tc>
          <w:tcPr>
            <w:tcW w:w="6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stockholders.</w:t>
            </w:r>
          </w:p>
        </w:tc>
      </w:tr>
      <w:tr>
        <w:trPr>
          <w:trHeight w:val="426"/>
        </w:trPr>
        <w:tc>
          <w:tcPr>
            <w:tcW w:w="4800" w:type="dxa"/>
            <w:vAlign w:val="bottom"/>
          </w:tcPr>
          <w:p>
            <w:pPr>
              <w:spacing w:after="0"/>
              <w:rPr>
                <w:sz w:val="24"/>
                <w:szCs w:val="24"/>
                <w:color w:val="auto"/>
              </w:rPr>
            </w:pPr>
          </w:p>
        </w:tc>
        <w:tc>
          <w:tcPr>
            <w:tcW w:w="64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w:t>
            </w:r>
          </w:p>
        </w:tc>
      </w:tr>
      <w:tr>
        <w:trPr>
          <w:trHeight w:val="115"/>
        </w:trPr>
        <w:tc>
          <w:tcPr>
            <w:tcW w:w="4800" w:type="dxa"/>
            <w:vAlign w:val="bottom"/>
            <w:tcBorders>
              <w:bottom w:val="single" w:sz="8" w:color="auto"/>
            </w:tcBorders>
          </w:tcPr>
          <w:p>
            <w:pPr>
              <w:spacing w:after="0"/>
              <w:rPr>
                <w:sz w:val="10"/>
                <w:szCs w:val="10"/>
                <w:color w:val="auto"/>
              </w:rPr>
            </w:pPr>
          </w:p>
        </w:tc>
        <w:tc>
          <w:tcPr>
            <w:tcW w:w="6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BOARD OF DIRECTORS COMPOSITION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of Directors understands the importance of adding diverse, experienced talent to the Board of Directors in order to establish an array of experience and strategic views. The Nominating and Corporate Governance Committee is committed to refreshment efforts to ensure that the composition of the Board of Directors and each of its committees encompasses a wide range of perspectives and knowledge.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of our Board nominees collectively bring significant diversity to the Board. Each nominee is a strategic thinker and has varying, specialized experience in the areas relevant to NTIC and its businesses. Moreover, their collective experience covers a wide range of geographies and industries, and roles in academia, corporate governance and government. Our eight current directors range in age from 58 to 77; three of the eight directors are women; two are of Asian descent; one is of African descent; one is a citizen of Brazil, one is a citizen of the Republic of Korea and one is a citizen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125730</wp:posOffset>
            </wp:positionV>
            <wp:extent cx="6137910" cy="4509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7910"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BOARD OF DIRECTORS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are the director nominees for election by stockholders at the 2026 Annual Meeting of Stockholders for a one-year term.</w:t>
            </w:r>
          </w:p>
        </w:tc>
        <w:tc>
          <w:tcPr>
            <w:tcW w:w="1980" w:type="dxa"/>
            <w:vAlign w:val="bottom"/>
          </w:tcPr>
          <w:p>
            <w:pPr>
              <w:spacing w:after="0"/>
              <w:rPr>
                <w:sz w:val="20"/>
                <w:szCs w:val="20"/>
                <w:color w:val="auto"/>
              </w:rPr>
            </w:pPr>
          </w:p>
        </w:tc>
      </w:tr>
      <w:tr>
        <w:trPr>
          <w:trHeight w:val="216"/>
        </w:trPr>
        <w:tc>
          <w:tcPr>
            <w:tcW w:w="3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52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60" w:type="dxa"/>
            <w:vAlign w:val="bottom"/>
            <w:tcBorders>
              <w:bottom w:val="single" w:sz="8" w:color="auto"/>
            </w:tcBorders>
            <w:shd w:val="clear" w:color="auto" w:fill="DDDDDD"/>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380" w:type="dxa"/>
            <w:vAlign w:val="bottom"/>
            <w:tcBorders>
              <w:bottom w:val="single" w:sz="8" w:color="auto"/>
            </w:tcBorders>
            <w:shd w:val="clear" w:color="auto" w:fill="DDDDDD"/>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Serving Since</w:t>
            </w:r>
          </w:p>
        </w:tc>
        <w:tc>
          <w:tcPr>
            <w:tcW w:w="1980" w:type="dxa"/>
            <w:vAlign w:val="bottom"/>
            <w:tcBorders>
              <w:bottom w:val="single" w:sz="8" w:color="auto"/>
            </w:tcBorders>
            <w:shd w:val="clear" w:color="auto" w:fill="DDDDDD"/>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Independent</w:t>
            </w:r>
          </w:p>
        </w:tc>
      </w:tr>
      <w:tr>
        <w:trPr>
          <w:trHeight w:val="210"/>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66</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2019</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59</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2019</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0"/>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73</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2004</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58</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2004</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No</w:t>
            </w: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76</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2004</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No</w:t>
            </w:r>
          </w:p>
        </w:tc>
      </w:tr>
      <w:tr>
        <w:trPr>
          <w:trHeight w:val="210"/>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77</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2010</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68</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2023</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0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23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58</w:t>
            </w:r>
          </w:p>
        </w:tc>
        <w:tc>
          <w:tcPr>
            <w:tcW w:w="33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2012</w:t>
            </w:r>
          </w:p>
        </w:tc>
        <w:tc>
          <w:tcPr>
            <w:tcW w:w="1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these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Board of Directors maintains a standing Audit Committee, Compensation Committee, and Nominating and Corporate Governance Committee, each comprised of the following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80" w:type="dxa"/>
            <w:vAlign w:val="bottom"/>
            <w:shd w:val="clear" w:color="auto" w:fill="DDDDDD"/>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3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35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 Corporate Governance</w:t>
            </w:r>
          </w:p>
        </w:tc>
        <w:tc>
          <w:tcPr>
            <w:tcW w:w="0" w:type="dxa"/>
            <w:vAlign w:val="bottom"/>
          </w:tcPr>
          <w:p>
            <w:pPr>
              <w:spacing w:after="0"/>
              <w:rPr>
                <w:sz w:val="1"/>
                <w:szCs w:val="1"/>
                <w:color w:val="auto"/>
              </w:rPr>
            </w:pPr>
          </w:p>
        </w:tc>
      </w:tr>
      <w:tr>
        <w:trPr>
          <w:trHeight w:val="130"/>
        </w:trPr>
        <w:tc>
          <w:tcPr>
            <w:tcW w:w="3060" w:type="dxa"/>
            <w:vAlign w:val="bottom"/>
            <w:vMerge w:val="continue"/>
            <w:shd w:val="clear" w:color="auto" w:fill="DDDDDD"/>
          </w:tcPr>
          <w:p>
            <w:pPr>
              <w:spacing w:after="0"/>
              <w:rPr>
                <w:sz w:val="11"/>
                <w:szCs w:val="11"/>
                <w:color w:val="auto"/>
              </w:rPr>
            </w:pPr>
          </w:p>
        </w:tc>
        <w:tc>
          <w:tcPr>
            <w:tcW w:w="2380" w:type="dxa"/>
            <w:vAlign w:val="bottom"/>
            <w:shd w:val="clear" w:color="auto" w:fill="DDDDDD"/>
          </w:tcPr>
          <w:p>
            <w:pPr>
              <w:spacing w:after="0"/>
              <w:rPr>
                <w:sz w:val="11"/>
                <w:szCs w:val="11"/>
                <w:color w:val="auto"/>
              </w:rPr>
            </w:pPr>
          </w:p>
        </w:tc>
        <w:tc>
          <w:tcPr>
            <w:tcW w:w="2300" w:type="dxa"/>
            <w:vAlign w:val="bottom"/>
            <w:shd w:val="clear" w:color="auto" w:fill="DDDDDD"/>
          </w:tcPr>
          <w:p>
            <w:pPr>
              <w:spacing w:after="0"/>
              <w:rPr>
                <w:sz w:val="11"/>
                <w:szCs w:val="11"/>
                <w:color w:val="auto"/>
              </w:rPr>
            </w:pPr>
          </w:p>
        </w:tc>
        <w:tc>
          <w:tcPr>
            <w:tcW w:w="35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0" w:type="dxa"/>
            <w:vAlign w:val="bottom"/>
          </w:tcPr>
          <w:p>
            <w:pPr>
              <w:spacing w:after="0"/>
              <w:rPr>
                <w:sz w:val="1"/>
                <w:szCs w:val="1"/>
                <w:color w:val="auto"/>
              </w:rPr>
            </w:pPr>
          </w:p>
        </w:tc>
      </w:tr>
      <w:tr>
        <w:trPr>
          <w:trHeight w:val="108"/>
        </w:trPr>
        <w:tc>
          <w:tcPr>
            <w:tcW w:w="3060" w:type="dxa"/>
            <w:vAlign w:val="bottom"/>
            <w:tcBorders>
              <w:bottom w:val="single" w:sz="8" w:color="auto"/>
            </w:tcBorders>
            <w:shd w:val="clear" w:color="auto" w:fill="DDDDDD"/>
          </w:tcPr>
          <w:p>
            <w:pPr>
              <w:spacing w:after="0"/>
              <w:rPr>
                <w:sz w:val="9"/>
                <w:szCs w:val="9"/>
                <w:color w:val="auto"/>
              </w:rPr>
            </w:pPr>
          </w:p>
        </w:tc>
        <w:tc>
          <w:tcPr>
            <w:tcW w:w="2380" w:type="dxa"/>
            <w:vAlign w:val="bottom"/>
            <w:tcBorders>
              <w:bottom w:val="single" w:sz="8" w:color="auto"/>
            </w:tcBorders>
            <w:shd w:val="clear" w:color="auto" w:fill="DDDDDD"/>
          </w:tcPr>
          <w:p>
            <w:pPr>
              <w:spacing w:after="0"/>
              <w:rPr>
                <w:sz w:val="9"/>
                <w:szCs w:val="9"/>
                <w:color w:val="auto"/>
              </w:rPr>
            </w:pPr>
          </w:p>
        </w:tc>
        <w:tc>
          <w:tcPr>
            <w:tcW w:w="2300" w:type="dxa"/>
            <w:vAlign w:val="bottom"/>
            <w:tcBorders>
              <w:bottom w:val="single" w:sz="8" w:color="auto"/>
            </w:tcBorders>
            <w:shd w:val="clear" w:color="auto" w:fill="DDDDDD"/>
          </w:tcPr>
          <w:p>
            <w:pPr>
              <w:spacing w:after="0"/>
              <w:rPr>
                <w:sz w:val="9"/>
                <w:szCs w:val="9"/>
                <w:color w:val="auto"/>
              </w:rPr>
            </w:pPr>
          </w:p>
        </w:tc>
        <w:tc>
          <w:tcPr>
            <w:tcW w:w="3500" w:type="dxa"/>
            <w:vAlign w:val="bottom"/>
            <w:tcBorders>
              <w:bottom w:val="single" w:sz="8" w:color="auto"/>
            </w:tcBorders>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23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Chair</w:t>
            </w:r>
          </w:p>
        </w:tc>
        <w:tc>
          <w:tcPr>
            <w:tcW w:w="23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2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2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2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2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23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1"/>
              </w:rPr>
              <w:t>●</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2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23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1"/>
              </w:rPr>
              <w:t>●</w:t>
            </w:r>
          </w:p>
        </w:tc>
        <w:tc>
          <w:tcPr>
            <w:tcW w:w="23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42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 QUALIFICATIONS</w:t>
            </w:r>
          </w:p>
        </w:tc>
        <w:tc>
          <w:tcPr>
            <w:tcW w:w="23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key qualifications, skills and experiences of our directors.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DDDDDD"/>
          </w:tcPr>
          <w:p>
            <w:pPr>
              <w:spacing w:after="0"/>
              <w:rPr>
                <w:sz w:val="18"/>
                <w:szCs w:val="18"/>
                <w:color w:val="auto"/>
              </w:rPr>
            </w:pPr>
          </w:p>
        </w:tc>
        <w:tc>
          <w:tcPr>
            <w:tcW w:w="1660" w:type="dxa"/>
            <w:vAlign w:val="bottom"/>
            <w:vMerge w:val="restart"/>
            <w:shd w:val="clear" w:color="auto" w:fill="DDDDDD"/>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Leadership/</w:t>
            </w:r>
          </w:p>
        </w:tc>
        <w:tc>
          <w:tcPr>
            <w:tcW w:w="118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w:t>
            </w:r>
          </w:p>
        </w:tc>
        <w:tc>
          <w:tcPr>
            <w:tcW w:w="16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15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Prior Board</w:t>
            </w:r>
          </w:p>
        </w:tc>
        <w:tc>
          <w:tcPr>
            <w:tcW w:w="146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13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Bioplastics</w:t>
            </w:r>
          </w:p>
        </w:tc>
        <w:tc>
          <w:tcPr>
            <w:tcW w:w="0" w:type="dxa"/>
            <w:vAlign w:val="bottom"/>
          </w:tcPr>
          <w:p>
            <w:pPr>
              <w:spacing w:after="0"/>
              <w:rPr>
                <w:sz w:val="1"/>
                <w:szCs w:val="1"/>
                <w:color w:val="auto"/>
              </w:rPr>
            </w:pPr>
          </w:p>
        </w:tc>
      </w:tr>
      <w:tr>
        <w:trPr>
          <w:trHeight w:val="108"/>
        </w:trPr>
        <w:tc>
          <w:tcPr>
            <w:tcW w:w="25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660" w:type="dxa"/>
            <w:vAlign w:val="bottom"/>
            <w:vMerge w:val="continue"/>
            <w:shd w:val="clear" w:color="auto" w:fill="DDDDDD"/>
          </w:tcPr>
          <w:p>
            <w:pPr>
              <w:spacing w:after="0"/>
              <w:rPr>
                <w:sz w:val="9"/>
                <w:szCs w:val="9"/>
                <w:color w:val="auto"/>
              </w:rPr>
            </w:pPr>
          </w:p>
        </w:tc>
        <w:tc>
          <w:tcPr>
            <w:tcW w:w="1180" w:type="dxa"/>
            <w:vAlign w:val="bottom"/>
            <w:vMerge w:val="continue"/>
            <w:shd w:val="clear" w:color="auto" w:fill="DDDDDD"/>
          </w:tcPr>
          <w:p>
            <w:pPr>
              <w:spacing w:after="0"/>
              <w:rPr>
                <w:sz w:val="9"/>
                <w:szCs w:val="9"/>
                <w:color w:val="auto"/>
              </w:rPr>
            </w:pPr>
          </w:p>
        </w:tc>
        <w:tc>
          <w:tcPr>
            <w:tcW w:w="1600" w:type="dxa"/>
            <w:vAlign w:val="bottom"/>
            <w:vMerge w:val="continue"/>
            <w:shd w:val="clear" w:color="auto" w:fill="DDDDDD"/>
          </w:tcPr>
          <w:p>
            <w:pPr>
              <w:spacing w:after="0"/>
              <w:rPr>
                <w:sz w:val="9"/>
                <w:szCs w:val="9"/>
                <w:color w:val="auto"/>
              </w:rPr>
            </w:pPr>
          </w:p>
        </w:tc>
        <w:tc>
          <w:tcPr>
            <w:tcW w:w="1500" w:type="dxa"/>
            <w:vAlign w:val="bottom"/>
            <w:vMerge w:val="continue"/>
            <w:shd w:val="clear" w:color="auto" w:fill="DDDDDD"/>
          </w:tcPr>
          <w:p>
            <w:pPr>
              <w:spacing w:after="0"/>
              <w:rPr>
                <w:sz w:val="9"/>
                <w:szCs w:val="9"/>
                <w:color w:val="auto"/>
              </w:rPr>
            </w:pPr>
          </w:p>
        </w:tc>
        <w:tc>
          <w:tcPr>
            <w:tcW w:w="1460" w:type="dxa"/>
            <w:vAlign w:val="bottom"/>
            <w:vMerge w:val="continue"/>
            <w:shd w:val="clear" w:color="auto" w:fill="DDDDDD"/>
          </w:tcPr>
          <w:p>
            <w:pPr>
              <w:spacing w:after="0"/>
              <w:rPr>
                <w:sz w:val="9"/>
                <w:szCs w:val="9"/>
                <w:color w:val="auto"/>
              </w:rPr>
            </w:pPr>
          </w:p>
        </w:tc>
        <w:tc>
          <w:tcPr>
            <w:tcW w:w="13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Industry</w:t>
            </w:r>
          </w:p>
        </w:tc>
        <w:tc>
          <w:tcPr>
            <w:tcW w:w="0" w:type="dxa"/>
            <w:vAlign w:val="bottom"/>
          </w:tcPr>
          <w:p>
            <w:pPr>
              <w:spacing w:after="0"/>
              <w:rPr>
                <w:sz w:val="1"/>
                <w:szCs w:val="1"/>
                <w:color w:val="auto"/>
              </w:rPr>
            </w:pPr>
          </w:p>
        </w:tc>
      </w:tr>
      <w:tr>
        <w:trPr>
          <w:trHeight w:val="108"/>
        </w:trPr>
        <w:tc>
          <w:tcPr>
            <w:tcW w:w="2540" w:type="dxa"/>
            <w:vAlign w:val="bottom"/>
            <w:vMerge w:val="continue"/>
            <w:shd w:val="clear" w:color="auto" w:fill="DDDDDD"/>
          </w:tcPr>
          <w:p>
            <w:pPr>
              <w:spacing w:after="0"/>
              <w:rPr>
                <w:sz w:val="9"/>
                <w:szCs w:val="9"/>
                <w:color w:val="auto"/>
              </w:rPr>
            </w:pPr>
          </w:p>
        </w:tc>
        <w:tc>
          <w:tcPr>
            <w:tcW w:w="1660" w:type="dxa"/>
            <w:vAlign w:val="bottom"/>
            <w:vMerge w:val="restart"/>
            <w:shd w:val="clear" w:color="auto" w:fill="DDDDDD"/>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18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Expertise</w:t>
            </w:r>
          </w:p>
        </w:tc>
        <w:tc>
          <w:tcPr>
            <w:tcW w:w="16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15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146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130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40" w:type="dxa"/>
            <w:vAlign w:val="bottom"/>
            <w:shd w:val="clear" w:color="auto" w:fill="DDDDDD"/>
          </w:tcPr>
          <w:p>
            <w:pPr>
              <w:spacing w:after="0"/>
              <w:rPr>
                <w:sz w:val="11"/>
                <w:szCs w:val="11"/>
                <w:color w:val="auto"/>
              </w:rPr>
            </w:pPr>
          </w:p>
        </w:tc>
        <w:tc>
          <w:tcPr>
            <w:tcW w:w="1660" w:type="dxa"/>
            <w:vAlign w:val="bottom"/>
            <w:vMerge w:val="continue"/>
            <w:shd w:val="clear" w:color="auto" w:fill="DDDDDD"/>
          </w:tcPr>
          <w:p>
            <w:pPr>
              <w:spacing w:after="0"/>
              <w:rPr>
                <w:sz w:val="11"/>
                <w:szCs w:val="11"/>
                <w:color w:val="auto"/>
              </w:rPr>
            </w:pPr>
          </w:p>
        </w:tc>
        <w:tc>
          <w:tcPr>
            <w:tcW w:w="1180" w:type="dxa"/>
            <w:vAlign w:val="bottom"/>
            <w:vMerge w:val="continue"/>
            <w:shd w:val="clear" w:color="auto" w:fill="DDDDDD"/>
          </w:tcPr>
          <w:p>
            <w:pPr>
              <w:spacing w:after="0"/>
              <w:rPr>
                <w:sz w:val="11"/>
                <w:szCs w:val="11"/>
                <w:color w:val="auto"/>
              </w:rPr>
            </w:pPr>
          </w:p>
        </w:tc>
        <w:tc>
          <w:tcPr>
            <w:tcW w:w="1600" w:type="dxa"/>
            <w:vAlign w:val="bottom"/>
            <w:vMerge w:val="continue"/>
            <w:shd w:val="clear" w:color="auto" w:fill="DDDDDD"/>
          </w:tcPr>
          <w:p>
            <w:pPr>
              <w:spacing w:after="0"/>
              <w:rPr>
                <w:sz w:val="11"/>
                <w:szCs w:val="11"/>
                <w:color w:val="auto"/>
              </w:rPr>
            </w:pPr>
          </w:p>
        </w:tc>
        <w:tc>
          <w:tcPr>
            <w:tcW w:w="1500" w:type="dxa"/>
            <w:vAlign w:val="bottom"/>
            <w:vMerge w:val="continue"/>
            <w:shd w:val="clear" w:color="auto" w:fill="DDDDDD"/>
          </w:tcPr>
          <w:p>
            <w:pPr>
              <w:spacing w:after="0"/>
              <w:rPr>
                <w:sz w:val="11"/>
                <w:szCs w:val="11"/>
                <w:color w:val="auto"/>
              </w:rPr>
            </w:pPr>
          </w:p>
        </w:tc>
        <w:tc>
          <w:tcPr>
            <w:tcW w:w="1460" w:type="dxa"/>
            <w:vAlign w:val="bottom"/>
            <w:vMerge w:val="continue"/>
            <w:shd w:val="clear" w:color="auto" w:fill="DDDDDD"/>
          </w:tcPr>
          <w:p>
            <w:pPr>
              <w:spacing w:after="0"/>
              <w:rPr>
                <w:sz w:val="11"/>
                <w:szCs w:val="11"/>
                <w:color w:val="auto"/>
              </w:rPr>
            </w:pPr>
          </w:p>
        </w:tc>
        <w:tc>
          <w:tcPr>
            <w:tcW w:w="130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Experience</w:t>
            </w:r>
          </w:p>
        </w:tc>
        <w:tc>
          <w:tcPr>
            <w:tcW w:w="0" w:type="dxa"/>
            <w:vAlign w:val="bottom"/>
          </w:tcPr>
          <w:p>
            <w:pPr>
              <w:spacing w:after="0"/>
              <w:rPr>
                <w:sz w:val="1"/>
                <w:szCs w:val="1"/>
                <w:color w:val="auto"/>
              </w:rPr>
            </w:pPr>
          </w:p>
        </w:tc>
      </w:tr>
      <w:tr>
        <w:trPr>
          <w:trHeight w:val="108"/>
        </w:trPr>
        <w:tc>
          <w:tcPr>
            <w:tcW w:w="2540" w:type="dxa"/>
            <w:vAlign w:val="bottom"/>
            <w:tcBorders>
              <w:bottom w:val="single" w:sz="8" w:color="auto"/>
            </w:tcBorders>
            <w:shd w:val="clear" w:color="auto" w:fill="DDDDDD"/>
          </w:tcPr>
          <w:p>
            <w:pPr>
              <w:spacing w:after="0"/>
              <w:rPr>
                <w:sz w:val="9"/>
                <w:szCs w:val="9"/>
                <w:color w:val="auto"/>
              </w:rPr>
            </w:pPr>
          </w:p>
        </w:tc>
        <w:tc>
          <w:tcPr>
            <w:tcW w:w="1660" w:type="dxa"/>
            <w:vAlign w:val="bottom"/>
            <w:tcBorders>
              <w:bottom w:val="single" w:sz="8" w:color="auto"/>
            </w:tcBorders>
            <w:shd w:val="clear" w:color="auto" w:fill="DDDDDD"/>
          </w:tcPr>
          <w:p>
            <w:pPr>
              <w:spacing w:after="0"/>
              <w:rPr>
                <w:sz w:val="9"/>
                <w:szCs w:val="9"/>
                <w:color w:val="auto"/>
              </w:rPr>
            </w:pPr>
          </w:p>
        </w:tc>
        <w:tc>
          <w:tcPr>
            <w:tcW w:w="1180" w:type="dxa"/>
            <w:vAlign w:val="bottom"/>
            <w:tcBorders>
              <w:bottom w:val="single" w:sz="8" w:color="auto"/>
            </w:tcBorders>
            <w:shd w:val="clear" w:color="auto" w:fill="DDDDDD"/>
          </w:tcPr>
          <w:p>
            <w:pPr>
              <w:spacing w:after="0"/>
              <w:rPr>
                <w:sz w:val="9"/>
                <w:szCs w:val="9"/>
                <w:color w:val="auto"/>
              </w:rPr>
            </w:pPr>
          </w:p>
        </w:tc>
        <w:tc>
          <w:tcPr>
            <w:tcW w:w="1600" w:type="dxa"/>
            <w:vAlign w:val="bottom"/>
            <w:tcBorders>
              <w:bottom w:val="single" w:sz="8" w:color="auto"/>
            </w:tcBorders>
            <w:shd w:val="clear" w:color="auto" w:fill="DDDDDD"/>
          </w:tcPr>
          <w:p>
            <w:pPr>
              <w:spacing w:after="0"/>
              <w:rPr>
                <w:sz w:val="9"/>
                <w:szCs w:val="9"/>
                <w:color w:val="auto"/>
              </w:rPr>
            </w:pPr>
          </w:p>
        </w:tc>
        <w:tc>
          <w:tcPr>
            <w:tcW w:w="1500" w:type="dxa"/>
            <w:vAlign w:val="bottom"/>
            <w:tcBorders>
              <w:bottom w:val="single" w:sz="8" w:color="auto"/>
            </w:tcBorders>
            <w:shd w:val="clear" w:color="auto" w:fill="DDDDDD"/>
          </w:tcPr>
          <w:p>
            <w:pPr>
              <w:spacing w:after="0"/>
              <w:rPr>
                <w:sz w:val="9"/>
                <w:szCs w:val="9"/>
                <w:color w:val="auto"/>
              </w:rPr>
            </w:pPr>
          </w:p>
        </w:tc>
        <w:tc>
          <w:tcPr>
            <w:tcW w:w="1460" w:type="dxa"/>
            <w:vAlign w:val="bottom"/>
            <w:tcBorders>
              <w:bottom w:val="single" w:sz="8" w:color="auto"/>
            </w:tcBorders>
            <w:shd w:val="clear" w:color="auto" w:fill="DDDDDD"/>
          </w:tcPr>
          <w:p>
            <w:pPr>
              <w:spacing w:after="0"/>
              <w:rPr>
                <w:sz w:val="9"/>
                <w:szCs w:val="9"/>
                <w:color w:val="auto"/>
              </w:rPr>
            </w:pPr>
          </w:p>
        </w:tc>
        <w:tc>
          <w:tcPr>
            <w:tcW w:w="1300" w:type="dxa"/>
            <w:vAlign w:val="bottom"/>
            <w:tcBorders>
              <w:bottom w:val="single" w:sz="8" w:color="auto"/>
            </w:tcBorders>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16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guiding compensation philosophy is to maintain an executive compensation program that allows us to attract, retain, motivate and reward qualified and talented executives who will enable us to grow our business, achieve our annual, long-term and strategic goals and drive long-term stockholder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core principles provide a framework for our executive compensation program:</w:t>
      </w:r>
    </w:p>
    <w:p>
      <w:pPr>
        <w:spacing w:after="0" w:line="225" w:lineRule="exact"/>
        <w:rPr>
          <w:sz w:val="20"/>
          <w:szCs w:val="20"/>
          <w:color w:val="auto"/>
        </w:rPr>
      </w:pPr>
    </w:p>
    <w:p>
      <w:pPr>
        <w:ind w:left="460" w:hanging="317"/>
        <w:spacing w:after="0"/>
        <w:tabs>
          <w:tab w:leader="none" w:pos="460"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interests of our executives with stockholder interests;</w:t>
      </w:r>
    </w:p>
    <w:p>
      <w:pPr>
        <w:spacing w:after="0" w:line="225"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with our business plans and strategic goals;</w:t>
      </w:r>
    </w:p>
    <w:p>
      <w:pPr>
        <w:spacing w:after="0" w:line="225"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amount of compensation to both company and individual performance; and</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competitive compensation opportunities that attract and retain executives.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practices include many best practices that support our executive compensation objectives and principles and benefit our stockholders.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960" w:type="dxa"/>
            <w:vAlign w:val="bottom"/>
            <w:gridSpan w:val="2"/>
            <w:shd w:val="clear" w:color="auto" w:fill="DDDDDD"/>
          </w:tcPr>
          <w:p>
            <w:pPr>
              <w:ind w:left="180"/>
              <w:spacing w:after="0"/>
              <w:rPr>
                <w:sz w:val="20"/>
                <w:szCs w:val="20"/>
                <w:color w:val="auto"/>
              </w:rPr>
            </w:pPr>
            <w:r>
              <w:rPr>
                <w:rFonts w:ascii="Times New Roman" w:cs="Times New Roman" w:eastAsia="Times New Roman" w:hAnsi="Times New Roman"/>
                <w:sz w:val="18"/>
                <w:szCs w:val="18"/>
                <w:b w:val="1"/>
                <w:bCs w:val="1"/>
                <w:color w:val="auto"/>
              </w:rPr>
              <w:t>What We Don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 Do</w:t>
            </w:r>
          </w:p>
        </w:tc>
      </w:tr>
      <w:tr>
        <w:trPr>
          <w:trHeight w:val="198"/>
        </w:trPr>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Emphasize pay for performance</w:t>
            </w:r>
          </w:p>
        </w:tc>
        <w:tc>
          <w:tcPr>
            <w:tcW w:w="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No guaranteed salary increases or bonuses</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Structure our executive compensation so a significant portion of pay is at risk</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repricing of stock options unless approved by</w:t>
            </w:r>
          </w:p>
        </w:tc>
      </w:tr>
      <w:tr>
        <w:trPr>
          <w:trHeight w:val="216"/>
        </w:trPr>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Structure our executive compensation so a significant portion is paid in equity</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pledging of NTIC securities, unless certain criteria are</w:t>
            </w:r>
          </w:p>
        </w:tc>
      </w:tr>
      <w:tr>
        <w:trPr>
          <w:trHeight w:val="216"/>
        </w:trPr>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Maintain competitive pay packages</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hedging of NTIC securities</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Maintain robust clawback policy</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excessive perquisites</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 an annual say-on-pay vote</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tax gross-ups</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Maintain stock ownership guidelines</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consists of the following principal elements:</w:t>
      </w:r>
    </w:p>
    <w:p>
      <w:pPr>
        <w:spacing w:after="0" w:line="225" w:lineRule="exact"/>
        <w:rPr>
          <w:sz w:val="20"/>
          <w:szCs w:val="20"/>
          <w:color w:val="auto"/>
        </w:rPr>
      </w:pPr>
    </w:p>
    <w:p>
      <w:pPr>
        <w:ind w:left="420" w:hanging="331"/>
        <w:spacing w:after="0"/>
        <w:tabs>
          <w:tab w:leader="none" w:pos="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 a fixed amount, paid in cash and reviewed annually and, if appropriate, adjusted.</w:t>
      </w:r>
    </w:p>
    <w:p>
      <w:pPr>
        <w:spacing w:after="0" w:line="225" w:lineRule="exact"/>
        <w:rPr>
          <w:rFonts w:ascii="Times New Roman" w:cs="Times New Roman" w:eastAsia="Times New Roman" w:hAnsi="Times New Roman"/>
          <w:sz w:val="18"/>
          <w:szCs w:val="18"/>
          <w:color w:val="auto"/>
        </w:rPr>
      </w:pPr>
    </w:p>
    <w:p>
      <w:pPr>
        <w:ind w:left="380" w:right="640" w:hanging="318"/>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 a variable, short-term element that is typically payable in cash and is based on a corporate profitability goal and individual performance goals.</w:t>
      </w:r>
    </w:p>
    <w:p>
      <w:pPr>
        <w:spacing w:after="0" w:line="161"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 a variable, long-term element that is provided in stock options.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FISCAL 2025 EXECUTIVE COMPENSATION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2025 compensation actions and incentive plan outcomes based on performance are summarized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Borders>
              <w:bottom w:val="single" w:sz="8" w:color="auto"/>
            </w:tcBorders>
            <w:shd w:val="clear" w:color="auto" w:fill="DDDDDD"/>
          </w:tcPr>
          <w:p>
            <w:pPr>
              <w:ind w:left="124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8600" w:type="dxa"/>
            <w:vAlign w:val="bottom"/>
            <w:tcBorders>
              <w:bottom w:val="single" w:sz="8" w:color="auto"/>
            </w:tcBorders>
            <w:shd w:val="clear" w:color="auto" w:fill="DDDDDD"/>
          </w:tcPr>
          <w:p>
            <w:pPr>
              <w:ind w:left="3620"/>
              <w:spacing w:after="0"/>
              <w:rPr>
                <w:sz w:val="20"/>
                <w:szCs w:val="20"/>
                <w:color w:val="auto"/>
              </w:rPr>
            </w:pPr>
            <w:r>
              <w:rPr>
                <w:rFonts w:ascii="Times New Roman" w:cs="Times New Roman" w:eastAsia="Times New Roman" w:hAnsi="Times New Roman"/>
                <w:sz w:val="18"/>
                <w:szCs w:val="18"/>
                <w:b w:val="1"/>
                <w:bCs w:val="1"/>
                <w:color w:val="auto"/>
              </w:rPr>
              <w:t>Key Fiscal 2025 Actions</w:t>
            </w:r>
          </w:p>
        </w:tc>
      </w:tr>
      <w:tr>
        <w:trPr>
          <w:trHeight w:val="209"/>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Base Salary</w:t>
            </w:r>
          </w:p>
        </w:tc>
        <w:tc>
          <w:tcPr>
            <w:tcW w:w="8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Our executives received base salary increases at the start of fiscal 2025 of 4.0%.</w:t>
            </w:r>
          </w:p>
        </w:tc>
      </w:tr>
      <w:tr>
        <w:trPr>
          <w:trHeight w:val="191"/>
        </w:trPr>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Annual Incentive</w:t>
            </w:r>
          </w:p>
        </w:tc>
        <w:tc>
          <w:tcPr>
            <w:tcW w:w="8600" w:type="dxa"/>
            <w:vAlign w:val="bottom"/>
          </w:tcPr>
          <w:p>
            <w:pPr>
              <w:ind w:left="600"/>
              <w:spacing w:after="0" w:line="191" w:lineRule="exact"/>
              <w:rPr>
                <w:sz w:val="20"/>
                <w:szCs w:val="20"/>
                <w:color w:val="auto"/>
              </w:rPr>
            </w:pPr>
            <w:r>
              <w:rPr>
                <w:rFonts w:ascii="Times New Roman" w:cs="Times New Roman" w:eastAsia="Times New Roman" w:hAnsi="Times New Roman"/>
                <w:sz w:val="18"/>
                <w:szCs w:val="18"/>
                <w:color w:val="auto"/>
              </w:rPr>
              <w:t>Our executives received annual bonuses based primarily on Adjusted EBITOI (earnings before interest, taxes,</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other income, as adjusted to take into account amounts paid under bonus plan and other adjustments), in</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amounts representing 85.4% of their base salaries. A portion of the annual incentive earned for fiscal 2025 was</w:t>
            </w:r>
          </w:p>
        </w:tc>
      </w:tr>
      <w:tr>
        <w:trPr>
          <w:trHeight w:val="234"/>
        </w:trPr>
        <w:tc>
          <w:tcPr>
            <w:tcW w:w="264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paid in the form of stock option grants made at the beginning of fiscal 2025.</w:t>
            </w:r>
          </w:p>
        </w:tc>
      </w:tr>
      <w:tr>
        <w:trPr>
          <w:trHeight w:val="191"/>
        </w:trPr>
        <w:tc>
          <w:tcPr>
            <w:tcW w:w="2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Long-Term Incentive</w:t>
            </w:r>
          </w:p>
        </w:tc>
        <w:tc>
          <w:tcPr>
            <w:tcW w:w="8600" w:type="dxa"/>
            <w:vAlign w:val="bottom"/>
          </w:tcPr>
          <w:p>
            <w:pPr>
              <w:ind w:left="600"/>
              <w:spacing w:after="0" w:line="191" w:lineRule="exact"/>
              <w:rPr>
                <w:sz w:val="20"/>
                <w:szCs w:val="20"/>
                <w:color w:val="auto"/>
              </w:rPr>
            </w:pPr>
            <w:r>
              <w:rPr>
                <w:rFonts w:ascii="Times New Roman" w:cs="Times New Roman" w:eastAsia="Times New Roman" w:hAnsi="Times New Roman"/>
                <w:sz w:val="18"/>
                <w:szCs w:val="18"/>
                <w:color w:val="auto"/>
              </w:rPr>
              <w:t>Our executives received stock option grants on September 1, 2024, which vest annually over a three-year</w:t>
            </w:r>
          </w:p>
        </w:tc>
      </w:tr>
      <w:tr>
        <w:trPr>
          <w:trHeight w:val="216"/>
        </w:trPr>
        <w:tc>
          <w:tcPr>
            <w:tcW w:w="2640" w:type="dxa"/>
            <w:vAlign w:val="bottom"/>
          </w:tcPr>
          <w:p>
            <w:pPr>
              <w:spacing w:after="0"/>
              <w:rPr>
                <w:sz w:val="18"/>
                <w:szCs w:val="18"/>
                <w:color w:val="auto"/>
              </w:rPr>
            </w:pPr>
          </w:p>
        </w:tc>
        <w:tc>
          <w:tcPr>
            <w:tcW w:w="8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period. The fiscal 2025 stock option grants were intended as partial payout of the fiscal 2025 annual bonus</w:t>
            </w:r>
          </w:p>
        </w:tc>
      </w:tr>
      <w:tr>
        <w:trPr>
          <w:trHeight w:val="234"/>
        </w:trPr>
        <w:tc>
          <w:tcPr>
            <w:tcW w:w="264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program.</w:t>
            </w:r>
          </w:p>
        </w:tc>
      </w:tr>
      <w:tr>
        <w:trPr>
          <w:trHeight w:val="209"/>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Health and Welfare Benefits</w:t>
            </w:r>
          </w:p>
        </w:tc>
        <w:tc>
          <w:tcPr>
            <w:tcW w:w="8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No significant changes were made.</w:t>
            </w:r>
          </w:p>
        </w:tc>
      </w:tr>
      <w:tr>
        <w:trPr>
          <w:trHeight w:val="209"/>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Retirement Plans</w:t>
            </w:r>
          </w:p>
        </w:tc>
        <w:tc>
          <w:tcPr>
            <w:tcW w:w="8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No significant changes were made.</w:t>
            </w:r>
          </w:p>
        </w:tc>
      </w:tr>
      <w:tr>
        <w:trPr>
          <w:trHeight w:val="210"/>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Perquisites</w:t>
            </w:r>
          </w:p>
        </w:tc>
        <w:tc>
          <w:tcPr>
            <w:tcW w:w="86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No significant changes were made.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of Directors is providing our stockholders with an advisory vote on our executive compensation, commonly known as a “say-on-pay” vote. We last submitted a say-on-pay proposal to our stockholders at our 2025 Annual Meeting of Stockholders held on January 17, 2025. At that meeting, approximately 93% of the votes cast by our stockholders were in favor of our say-on-pay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our say-on-pay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FREQUENCY OF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Every six years, NTIC is required to hold an advisory vote on the frequency of future say-on-pay votes. Since our last frequency of say-on-pay vote was held at our 2020 Annual Meeting of Stockholders, NTIC is submitting a frequency of say-on-pay proposal at the 2026 Annual Meeting of Stockholders. Stockholders may indicate whether they prefer that we hold a say-on-pay vote every one year, two years or three years, or they may abstain from this vote.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stockholders vote for a frequency of every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for future say-on-pay votes.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right="3320"/>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Although stockholder ratification is not required, the appointment of Baker Tilly US, LLP as NTIC’s independent registered public accounting firm for fiscal 2026 is being submitted for ratification at the 2026 Annual Meeting of Stockholders as a matter of good corporate governance.</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Baker Tilly US, LLP as NTIC’s independent registered public accounting firm for fiscal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2027 Annual Meeting of Stockholders will be held on or about Friday, January 15,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important dates in connection with our 2027 Annual Meeting of Stockholders.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Stockholder Action</w:t>
            </w:r>
          </w:p>
        </w:tc>
        <w:tc>
          <w:tcPr>
            <w:tcW w:w="5500" w:type="dxa"/>
            <w:vAlign w:val="bottom"/>
            <w:tcBorders>
              <w:bottom w:val="single" w:sz="8" w:color="auto"/>
            </w:tcBorders>
            <w:shd w:val="clear" w:color="auto" w:fill="DDDDDD"/>
          </w:tcPr>
          <w:p>
            <w:pPr>
              <w:ind w:left="300"/>
              <w:spacing w:after="0"/>
              <w:rPr>
                <w:sz w:val="20"/>
                <w:szCs w:val="20"/>
                <w:color w:val="auto"/>
              </w:rPr>
            </w:pPr>
            <w:r>
              <w:rPr>
                <w:rFonts w:ascii="Times New Roman" w:cs="Times New Roman" w:eastAsia="Times New Roman" w:hAnsi="Times New Roman"/>
                <w:sz w:val="18"/>
                <w:szCs w:val="18"/>
                <w:b w:val="1"/>
                <w:bCs w:val="1"/>
                <w:color w:val="auto"/>
              </w:rPr>
              <w:t>Submission Deadline</w:t>
            </w:r>
          </w:p>
        </w:tc>
      </w:tr>
      <w:tr>
        <w:trPr>
          <w:trHeight w:val="191"/>
        </w:trPr>
        <w:tc>
          <w:tcPr>
            <w:tcW w:w="5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Proposal Pursuant to Rule 14a-8 of the Securities Exchange Act of 1934, as</w:t>
            </w:r>
          </w:p>
        </w:tc>
        <w:tc>
          <w:tcPr>
            <w:tcW w:w="55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No later than August 3, 2026</w:t>
            </w:r>
          </w:p>
        </w:tc>
      </w:tr>
      <w:tr>
        <w:trPr>
          <w:trHeight w:val="234"/>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w:t>
            </w:r>
          </w:p>
        </w:tc>
        <w:tc>
          <w:tcPr>
            <w:tcW w:w="5500" w:type="dxa"/>
            <w:vAlign w:val="bottom"/>
            <w:tcBorders>
              <w:bottom w:val="single" w:sz="8" w:color="auto"/>
            </w:tcBorders>
          </w:tcPr>
          <w:p>
            <w:pPr>
              <w:spacing w:after="0"/>
              <w:rPr>
                <w:sz w:val="20"/>
                <w:szCs w:val="20"/>
                <w:color w:val="auto"/>
              </w:rPr>
            </w:pPr>
          </w:p>
        </w:tc>
      </w:tr>
      <w:tr>
        <w:trPr>
          <w:trHeight w:val="191"/>
        </w:trPr>
        <w:tc>
          <w:tcPr>
            <w:tcW w:w="5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Nomination of a Candidate Pursuant to our Bylaws</w:t>
            </w:r>
          </w:p>
        </w:tc>
        <w:tc>
          <w:tcPr>
            <w:tcW w:w="55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Between September 18, 2026 and</w:t>
            </w:r>
          </w:p>
        </w:tc>
      </w:tr>
      <w:tr>
        <w:trPr>
          <w:trHeight w:val="234"/>
        </w:trPr>
        <w:tc>
          <w:tcPr>
            <w:tcW w:w="574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October 18, 2026</w:t>
            </w:r>
          </w:p>
        </w:tc>
      </w:tr>
      <w:tr>
        <w:trPr>
          <w:trHeight w:val="191"/>
        </w:trPr>
        <w:tc>
          <w:tcPr>
            <w:tcW w:w="5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Proposal of Other Business for Consideration Pursuant to our Bylaws</w:t>
            </w:r>
          </w:p>
        </w:tc>
        <w:tc>
          <w:tcPr>
            <w:tcW w:w="55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Between September 18, 2026 and</w:t>
            </w:r>
          </w:p>
        </w:tc>
      </w:tr>
      <w:tr>
        <w:trPr>
          <w:trHeight w:val="234"/>
        </w:trPr>
        <w:tc>
          <w:tcPr>
            <w:tcW w:w="574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October 18,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OUR COMMITMENT TO ENVIRONMENTAL, SOCIAL AND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APPROACH AND MISSION</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At NTIC, we are committed to creating a more sustainable future. We convert unique, environmentally beneficial materials science into value-added products and services for industrial and consumer applications. Our research and development teams deliver innovative technologies and products that address climate change, use renewable materials, and enable sustainable waste management. We do this while maintaining the highest performance and processability.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COMMITMENTS</w:t>
      </w:r>
    </w:p>
    <w:p>
      <w:pPr>
        <w:spacing w:after="0" w:line="225" w:lineRule="exact"/>
        <w:rPr>
          <w:sz w:val="20"/>
          <w:szCs w:val="20"/>
          <w:color w:val="auto"/>
        </w:rPr>
      </w:pPr>
    </w:p>
    <w:p>
      <w:pPr>
        <w:jc w:val="both"/>
        <w:ind w:right="440"/>
        <w:spacing w:after="0" w:line="317" w:lineRule="auto"/>
        <w:rPr>
          <w:sz w:val="20"/>
          <w:szCs w:val="20"/>
          <w:color w:val="auto"/>
        </w:rPr>
      </w:pPr>
      <w:r>
        <w:rPr>
          <w:rFonts w:ascii="Times New Roman" w:cs="Times New Roman" w:eastAsia="Times New Roman" w:hAnsi="Times New Roman"/>
          <w:sz w:val="17"/>
          <w:szCs w:val="17"/>
          <w:b w:val="1"/>
          <w:bCs w:val="1"/>
          <w:color w:val="auto"/>
        </w:rPr>
        <w:t>Environmental</w:t>
      </w:r>
      <w:r>
        <w:rPr>
          <w:rFonts w:ascii="Times New Roman" w:cs="Times New Roman" w:eastAsia="Times New Roman" w:hAnsi="Times New Roman"/>
          <w:sz w:val="17"/>
          <w:szCs w:val="17"/>
          <w:color w:val="auto"/>
        </w:rPr>
        <w:t>: We are committed to operating in an environmentally responsible manner, as set forth in our Policy Statement on Health, Safety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 in order to reduce our impact on climate change, conserve natural resources and operate in compliance with environmental regulations.</w:t>
      </w:r>
    </w:p>
    <w:p>
      <w:pPr>
        <w:spacing w:after="0" w:line="13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Social</w:t>
      </w:r>
      <w:r>
        <w:rPr>
          <w:rFonts w:ascii="Times New Roman" w:cs="Times New Roman" w:eastAsia="Times New Roman" w:hAnsi="Times New Roman"/>
          <w:sz w:val="18"/>
          <w:szCs w:val="18"/>
          <w:color w:val="auto"/>
        </w:rPr>
        <w:t>: We are committed to being a socially responsible employer by prioritizing health and safety, as set forth in our Policy Statement on Health,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Environment, and fostering an environment of equity and inclusion across our business, as set forth in our Human Rights Policy.</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Governance</w:t>
      </w:r>
      <w:r>
        <w:rPr>
          <w:rFonts w:ascii="Times New Roman" w:cs="Times New Roman" w:eastAsia="Times New Roman" w:hAnsi="Times New Roman"/>
          <w:sz w:val="18"/>
          <w:szCs w:val="18"/>
          <w:color w:val="auto"/>
        </w:rPr>
        <w:t>: We are committed to building a culture dedicated to ethical business behavior and responsible corporate activity, as set forth in our Code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Ethics. We believe strong corporate governance is the foundation to delivering on our commitments.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INITIATIVES</w:t>
      </w:r>
    </w:p>
    <w:p>
      <w:pPr>
        <w:spacing w:after="0" w:line="229" w:lineRule="exact"/>
        <w:rPr>
          <w:sz w:val="20"/>
          <w:szCs w:val="20"/>
          <w:color w:val="auto"/>
        </w:rPr>
      </w:pPr>
    </w:p>
    <w:p>
      <w:pPr>
        <w:ind w:left="380" w:right="20" w:hanging="318"/>
        <w:spacing w:after="0" w:line="266" w:lineRule="auto"/>
        <w:tabs>
          <w:tab w:leader="none" w:pos="3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utilize electricity generated by 100% renewable sources, through the purchase of energy off-set credits, for all NTIC facilities in the United States. This annually offsets greenhouse gas emissions equivalent to 380 metric tons of carbon dioxide, which is the equivalent energy used by 47.8 average households in one year.</w:t>
      </w:r>
    </w:p>
    <w:p>
      <w:pPr>
        <w:spacing w:after="0" w:line="175" w:lineRule="exact"/>
        <w:rPr>
          <w:rFonts w:ascii="MS PGothic" w:cs="MS PGothic" w:eastAsia="MS PGothic" w:hAnsi="MS PGothic"/>
          <w:sz w:val="18"/>
          <w:szCs w:val="18"/>
          <w:color w:val="auto"/>
        </w:rPr>
      </w:pPr>
    </w:p>
    <w:p>
      <w:pPr>
        <w:ind w:left="420" w:hanging="331"/>
        <w:spacing w:after="0"/>
        <w:tabs>
          <w:tab w:leader="none" w:pos="420" w:val="left"/>
        </w:tabs>
        <w:numPr>
          <w:ilvl w:val="2"/>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develop technologies that support green manufacturing processes and energy production.</w:t>
      </w:r>
    </w:p>
    <w:p>
      <w:pPr>
        <w:spacing w:after="0" w:line="225" w:lineRule="exact"/>
        <w:rPr>
          <w:rFonts w:ascii="MS PGothic" w:cs="MS PGothic" w:eastAsia="MS PGothic" w:hAnsi="MS PGothic"/>
          <w:sz w:val="18"/>
          <w:szCs w:val="18"/>
          <w:color w:val="auto"/>
        </w:rPr>
      </w:pPr>
    </w:p>
    <w:p>
      <w:pPr>
        <w:ind w:left="380" w:right="20" w:hanging="318"/>
        <w:spacing w:after="0" w:line="261" w:lineRule="auto"/>
        <w:tabs>
          <w:tab w:leader="none" w:pos="3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corrosion management solutions are used for product packaging, rust prevention, and rust removers to reduce the impact manufacturing has on the environment by preserving metal assets, reducing waste and energy required to make new items, aiding in the refurbishing and remanufacturing of used metal items, preventing waste by enabling the recycling of rusted metal items, providing alternative solutions from the use of oil and solvents to protect metal assets, and offering recyclable and compostable products.</w:t>
      </w:r>
    </w:p>
    <w:p>
      <w:pPr>
        <w:spacing w:after="0" w:line="179" w:lineRule="exact"/>
        <w:rPr>
          <w:rFonts w:ascii="MS PGothic" w:cs="MS PGothic" w:eastAsia="MS PGothic" w:hAnsi="MS PGothic"/>
          <w:sz w:val="18"/>
          <w:szCs w:val="18"/>
          <w:color w:val="auto"/>
        </w:rPr>
      </w:pPr>
    </w:p>
    <w:p>
      <w:pPr>
        <w:ind w:left="380" w:right="20" w:hanging="318"/>
        <w:spacing w:after="0" w:line="282" w:lineRule="auto"/>
        <w:tabs>
          <w:tab w:leader="none" w:pos="3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oil and gas products reduce the environmental impact of the oil and gas industry by reducing the waste of metal assets and fossil fuels, preventing spillage and leaks, and extending the service life of metal assets.</w:t>
      </w:r>
    </w:p>
    <w:p>
      <w:pPr>
        <w:spacing w:after="0" w:line="161" w:lineRule="exact"/>
        <w:rPr>
          <w:rFonts w:ascii="MS PGothic" w:cs="MS PGothic" w:eastAsia="MS PGothic" w:hAnsi="MS PGothic"/>
          <w:sz w:val="18"/>
          <w:szCs w:val="18"/>
          <w:color w:val="auto"/>
        </w:rPr>
      </w:pPr>
    </w:p>
    <w:p>
      <w:pPr>
        <w:ind w:left="400" w:hanging="325"/>
        <w:spacing w:after="0"/>
        <w:tabs>
          <w:tab w:leader="none" w:pos="400" w:val="left"/>
        </w:tabs>
        <w:numPr>
          <w:ilvl w:val="1"/>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oil and gas solutions are designed to meet stringent Environmental Protection Agency regulations.</w:t>
      </w:r>
    </w:p>
    <w:p>
      <w:pPr>
        <w:spacing w:after="0" w:line="225" w:lineRule="exact"/>
        <w:rPr>
          <w:rFonts w:ascii="MS PGothic" w:cs="MS PGothic" w:eastAsia="MS PGothic" w:hAnsi="MS PGothic"/>
          <w:sz w:val="18"/>
          <w:szCs w:val="18"/>
          <w:color w:val="auto"/>
        </w:rPr>
      </w:pPr>
    </w:p>
    <w:p>
      <w:pPr>
        <w:ind w:left="380" w:hanging="318"/>
        <w:spacing w:after="0" w:line="266" w:lineRule="auto"/>
        <w:tabs>
          <w:tab w:leader="none" w:pos="38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Natur-Tec® bioplastics business supports the sustainability goals of people and companies by enabling users to reduce their carbon footprint, offering high-quality certified bio-based and 100% compostable resins and products, and researching new technologies to improve sustainable product choices.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14" w:name="page15"/>
    <w:bookmarkEnd w:id="14"/>
    <w:p>
      <w:pPr>
        <w:ind w:left="380" w:right="20" w:hanging="318"/>
        <w:spacing w:after="0" w:line="282" w:lineRule="auto"/>
        <w:tabs>
          <w:tab w:leader="none" w:pos="3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Board of directors and executive leadership team is committed to building an inclusive workforce and is committed to equal opportunity in regard to all hiring decisions, including the hiring/promoting of management positions and Board of Director appointments.</w:t>
      </w:r>
    </w:p>
    <w:p>
      <w:pPr>
        <w:spacing w:after="0" w:line="161" w:lineRule="exact"/>
        <w:rPr>
          <w:rFonts w:ascii="MS PGothic" w:cs="MS PGothic" w:eastAsia="MS PGothic" w:hAnsi="MS PGothic"/>
          <w:sz w:val="18"/>
          <w:szCs w:val="18"/>
          <w:color w:val="auto"/>
        </w:rPr>
      </w:pPr>
    </w:p>
    <w:p>
      <w:pPr>
        <w:ind w:left="380" w:right="340" w:hanging="318"/>
        <w:spacing w:after="0" w:line="282" w:lineRule="auto"/>
        <w:tabs>
          <w:tab w:leader="none" w:pos="3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 diversified workforce that is comprised of 42% female employees and 29% racially or ethnically diverse employees and a management team that is comprised of 40% female leaders and 23% racially or ethnically diverse leaders.</w:t>
      </w:r>
    </w:p>
    <w:p>
      <w:pPr>
        <w:spacing w:after="0" w:line="161" w:lineRule="exact"/>
        <w:rPr>
          <w:rFonts w:ascii="MS PGothic" w:cs="MS PGothic" w:eastAsia="MS PGothic" w:hAnsi="MS PGothic"/>
          <w:sz w:val="18"/>
          <w:szCs w:val="18"/>
          <w:color w:val="auto"/>
        </w:rPr>
      </w:pPr>
    </w:p>
    <w:p>
      <w:pPr>
        <w:ind w:left="380" w:hanging="318"/>
        <w:spacing w:after="0" w:line="282" w:lineRule="auto"/>
        <w:tabs>
          <w:tab w:leader="none" w:pos="38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believe that sustainability means being a responsible and ethical corporate citizen, and we support employees as they give back to the communities in which they live and work by engaging in efforts to strengthen community relationships and foster employee engagement.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SAFETY AND ENVIRONMENT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Health, safety and environment are the cornerstone of NTIC. We are in the business of converting unique, environmentally beneficial materials science into value added products and services for industrial and consumer applications. We believe that we are responsible to our worldwide customers, our people, our communities and our stockholders, and we take these responsibilities seriously. We are dedicated to investing in the future of the planet and our people and we intend to continue to invest in health, safety and environmental protection and improvements in a timely manner consistent with available technology.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guided by our Policy Statement on Health, Safety and Environment, which describes our health, safety and environmental objectives, including ensuring that all activities across the value chain are conducted in a manner consistent with our quality management standard and health, safety and environmental programs, ensuring that business activities are conducted to prevent harm and protect health and safety, and developing, manufacturing, distributing and marketing products and services with full regard for health, safety and environmental aspects. To accomplish these objectives, we intend to establish targets within our quality management standard and health, safety and environmental programs to measure progress and ensure continuous improvement, provide safe and healthy workplaces for our employees and contractors, and provide continued training to enable employees to meet their responsibility to contribute to compliance with our health, safety and environmental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MANAGEMENT SYSTEM POLICY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NTIC has an environmental management system to establish operational controls related to the identified significant environmental aspects of NTIC’s international operations and activities, the goods and services used by NTIC and communicating relevant requirements to our suppliers and subcontractors. Our Environmental Management System Policy is administered by our Chief Executive Officer and relates to the development and implementation of plans and activities to minimize, avoid and manage impacts on the environment. Significant aspects include disposal of scrap film generated by subcontractors, recycling and composting internally generated waste, electricity, lighting, heating and cooling of our buildings, handling, storage and disposal of hazardous material, and the disposal of NTIC product after use. NTIC strives to abide by all applicable laws, regulations and internal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INCLUSION; CODE OF ETHICS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Equity and inclusion are embedded in our values and integrated into our strategies. Our Human Rights Policy was designed to align with the United Nations Global Compact and core elements of the United Nations Universal Declaration of Human Rights. We are committed to providing an environment free of discrimination and harassment, where all individuals are treated with respect and dignity, can contribute fully, and have equal opportunities. We have worked to build an inclusive workforce and are committed to equal opportunity. We invest in building diverse talent pools and provide training to improve skills where appropriate. We uphold and support the right to equal treatment without discrimination or harassment, as reflected in our Equal Opportunity, Non-Discrimination, and Anti-Harassment Policy.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of Directors has adopted a Code of Ethics, which applies to all of our directors, executive officers, including our Chief Executive Officer and Chief Financial Officer,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CONDUCT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NTIC, our company values are respect, integrity, innovation, stewardship and excellence. Our Vendor Code of Conduct sets forth the requirements that we expect our vendors to comply with in order to operate lawfully, ethically and with integrity in every jurisdiction where they conduct business. This policy sets forth our expectations for our vendors with respect to anti-bribery and anti-corruption, international trade sanctions laws, antitrust laws, employee health and safety laws, environmental laws, gifts, entertainment and hospitality, anti-human trafficking and anti-modern slavery and other conduct. NTIC takes pride in setting an example by holding itself to high standards. This includes ensuring that our supply partners and vendors who are essential for doing business embody these beliefs as well.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OVERSIGHT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overseeing NTIC’s ESG activities, including disclosures. In doing so, the Nominating and Corporate Governance Committee periodically reviews and discusses with senior management the type and presentation of NTIC’s key ESG disclosures and the adequacy and effectiveness of applicable internal controls related to such disclosures. In carrying out its responsibilities for ESG oversight, the Nominating and Corporate Governance Committee coordinates with and solicits input from the Compensation Committee and the Audit Committee in formulating the approach to NTIC’s ESG activities. Our Compensation Committee is responsible for overseeing and periodically reviewing NTIC’s culture and policies and strategies related to human capital management, including with respect to equity and inclusion initiatives, pay equity, talent, recruitment and development, performance management and employee engagement. Our Audit Committee has oversight over general compliance with applicable laws as well as risk management.</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517525</wp:posOffset>
            </wp:positionV>
            <wp:extent cx="1388745" cy="883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4201 Woodland Road, Circle Pines, Minnesota 55014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of Directors of Northern Technologies International Corporation is soliciting your proxy for use at the 2026 Annual Meeting of Stockholders to be held on Friday, January 16, 2026. The Board of Directors expects to make available to our stockholders beginning on or about December 1, 2025 the Notice of Annual Meeting of Stockholders, this proxy statement and a form of proxy on the Internet or will mail these materials to stockholders of NTIC upon their request.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Place and Purposes of Meeting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Annual Meeting of Stockholders of Northern Technologies International Corporation (sometimes referred to as “NTIC,” “we,” “our” or “us” in this proxy statement) will be held on Friday, January 16, 2026, at 8:00 a.m., Central Time, at the principal executive offices of Northern Technologies International Corporation located at 4201 Woodland Road, Circle Pines, Minnesota 55014, for the purposes set forth in the Notice of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November 18, 2025 will be entitled to notice of and to vote at the meeting or any adjournment of the meeting. As of that date, there were 9,480,688 shares of our common stock outstanding. Each share of our common stock is entitled to one vote on each matter to be voted on at the Annual Meeting. Stockholders are not entitled to cumulate voting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Your vote is important. Whether you hold shares directly as a stockholder of record or beneficially in “street name” (through a broker, bank or other nominee), you may vote your shares without attending the Annual Meeting. You may vote by granting a proxy or, for shares held in street name, by submitting voting instructions to your broker, bank or other nominee.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7" w:name="page18"/>
    <w:bookmarkEnd w:id="17"/>
    <w:p>
      <w:pPr>
        <w:ind w:right="380"/>
        <w:spacing w:after="0" w:line="282" w:lineRule="auto"/>
        <w:rPr>
          <w:sz w:val="20"/>
          <w:szCs w:val="20"/>
          <w:color w:val="auto"/>
        </w:rPr>
      </w:pPr>
      <w:r>
        <w:rPr>
          <w:rFonts w:ascii="Times New Roman" w:cs="Times New Roman" w:eastAsia="Times New Roman" w:hAnsi="Times New Roman"/>
          <w:sz w:val="18"/>
          <w:szCs w:val="18"/>
          <w:color w:val="auto"/>
        </w:rPr>
        <w:t>If you are a registered stockholder whose shares are registered in your name, you may vote your shares in person at the meeting or by one of the three following methods:</w:t>
      </w:r>
    </w:p>
    <w:p>
      <w:pPr>
        <w:spacing w:after="0" w:line="158" w:lineRule="exact"/>
        <w:rPr>
          <w:sz w:val="20"/>
          <w:szCs w:val="20"/>
          <w:color w:val="auto"/>
        </w:rPr>
      </w:pPr>
    </w:p>
    <w:p>
      <w:pPr>
        <w:ind w:left="98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Internet</w:t>
      </w:r>
      <w:r>
        <w:rPr>
          <w:rFonts w:ascii="Times New Roman" w:cs="Times New Roman" w:eastAsia="Times New Roman" w:hAnsi="Times New Roman"/>
          <w:sz w:val="18"/>
          <w:szCs w:val="18"/>
          <w:color w:val="auto"/>
        </w:rPr>
        <w:t>, by going to the website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following the instructions for Internet voting shown on the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Internet Availability of Proxy Materials or on your proxy card.</w:t>
      </w:r>
    </w:p>
    <w:p>
      <w:pPr>
        <w:spacing w:after="0" w:line="154" w:lineRule="exact"/>
        <w:rPr>
          <w:rFonts w:ascii="Times New Roman" w:cs="Times New Roman" w:eastAsia="Times New Roman" w:hAnsi="Times New Roman"/>
          <w:sz w:val="18"/>
          <w:szCs w:val="18"/>
          <w:color w:val="auto"/>
        </w:rPr>
      </w:pPr>
    </w:p>
    <w:p>
      <w:pPr>
        <w:ind w:left="980" w:right="72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Telephone</w:t>
      </w:r>
      <w:r>
        <w:rPr>
          <w:rFonts w:ascii="Times New Roman" w:cs="Times New Roman" w:eastAsia="Times New Roman" w:hAnsi="Times New Roman"/>
          <w:sz w:val="18"/>
          <w:szCs w:val="18"/>
          <w:color w:val="auto"/>
        </w:rPr>
        <w:t>, by dialing 1-800-690-6903 and following the instructions for telephone voting shown on the Notice of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of Proxy Materials or on your proxy card.</w:t>
      </w:r>
    </w:p>
    <w:p>
      <w:pPr>
        <w:spacing w:after="0" w:line="154"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by Proxy Card</w:t>
      </w:r>
      <w:r>
        <w:rPr>
          <w:rFonts w:ascii="Times New Roman" w:cs="Times New Roman" w:eastAsia="Times New Roman" w:hAnsi="Times New Roman"/>
          <w:sz w:val="18"/>
          <w:szCs w:val="18"/>
          <w:color w:val="auto"/>
        </w:rPr>
        <w:t>, by completing, signing, dating and mailing the enclosed proxy card in the envelope provided if you received a paper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version of these proxy materials.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vote by Internet or telephone, please do not mail your proxy card.</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telephone.</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deadline for voting by telephone or by using the Internet is 11:59 p.m., Eastern Time (10:59 p.m., Central Time), on the day before the date of the Annual Meeting or any adjournments thereof. Please see the Notice of Internet Availability of Proxy Materials, your proxy card or the information your bank, broker, or other holder of record provided to you for more information on your options for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return your signed proxy card or use Internet or telephone voting before the Annual Meeting, the named proxies will vote your shares as you 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three choices on each matter to be voted 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Proposal One—Election of Directors, you may:</w:t>
      </w:r>
    </w:p>
    <w:p>
      <w:pPr>
        <w:spacing w:after="0" w:line="22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eight nominees for director,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 </w:t>
      </w:r>
      <w:r>
        <w:rPr>
          <w:rFonts w:ascii="Times New Roman" w:cs="Times New Roman" w:eastAsia="Times New Roman" w:hAnsi="Times New Roman"/>
          <w:sz w:val="18"/>
          <w:szCs w:val="18"/>
          <w:color w:val="auto"/>
        </w:rPr>
        <w:t>your vote from all eight nominees for director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 </w:t>
      </w:r>
      <w:r>
        <w:rPr>
          <w:rFonts w:ascii="Times New Roman" w:cs="Times New Roman" w:eastAsia="Times New Roman" w:hAnsi="Times New Roman"/>
          <w:sz w:val="18"/>
          <w:szCs w:val="18"/>
          <w:color w:val="auto"/>
        </w:rPr>
        <w:t>your vote from one or more of the eight nominees for director.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each of the other proposals, other than Proposal Three—Advisory Vote on the Frequency of Future Advisory Votes on Executive Compensation, you may:</w:t>
      </w:r>
    </w:p>
    <w:p>
      <w:pPr>
        <w:spacing w:after="0" w:line="158"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ABSTAIN </w:t>
      </w:r>
      <w:r>
        <w:rPr>
          <w:rFonts w:ascii="Times New Roman" w:cs="Times New Roman" w:eastAsia="Times New Roman" w:hAnsi="Times New Roman"/>
          <w:sz w:val="18"/>
          <w:szCs w:val="18"/>
          <w:color w:val="auto"/>
        </w:rPr>
        <w:t>from voting on the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Proposal Three—Advisory Vote on the Frequency of Future Advisory Votes on Executive Compensation, you may:</w:t>
      </w:r>
    </w:p>
    <w:p>
      <w:pPr>
        <w:spacing w:after="0" w:line="221"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for a frequency of every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for a frequency of every </w:t>
      </w:r>
      <w:r>
        <w:rPr>
          <w:rFonts w:ascii="Times New Roman" w:cs="Times New Roman" w:eastAsia="Times New Roman" w:hAnsi="Times New Roman"/>
          <w:sz w:val="18"/>
          <w:szCs w:val="18"/>
          <w:b w:val="1"/>
          <w:bCs w:val="1"/>
          <w:color w:val="auto"/>
        </w:rPr>
        <w:t>TWO YEARS,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for a frequency of every </w:t>
      </w:r>
      <w:r>
        <w:rPr>
          <w:rFonts w:ascii="Times New Roman" w:cs="Times New Roman" w:eastAsia="Times New Roman" w:hAnsi="Times New Roman"/>
          <w:sz w:val="18"/>
          <w:szCs w:val="18"/>
          <w:b w:val="1"/>
          <w:bCs w:val="1"/>
          <w:color w:val="auto"/>
        </w:rPr>
        <w:t>THREE YEARS</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ABSTAIN </w:t>
      </w:r>
      <w:r>
        <w:rPr>
          <w:rFonts w:ascii="Times New Roman" w:cs="Times New Roman" w:eastAsia="Times New Roman" w:hAnsi="Times New Roman"/>
          <w:sz w:val="18"/>
          <w:szCs w:val="18"/>
          <w:color w:val="auto"/>
        </w:rPr>
        <w:t>from voting on the proposal.</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8" w:name="page19"/>
    <w:bookmarkEnd w:id="18"/>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If you send in your proxy card or use Internet or telephone voting, but do not specify how you want to vote your shares, the proxies will vote your shares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all eight of the nominees for election to the Board of Directors in Proposal One—Election of Directors, for a frequency of every</w:t>
      </w:r>
      <w:r>
        <w:rPr>
          <w:rFonts w:ascii="Times New Roman" w:cs="Times New Roman" w:eastAsia="Times New Roman" w:hAnsi="Times New Roman"/>
          <w:sz w:val="18"/>
          <w:szCs w:val="18"/>
          <w:b w:val="1"/>
          <w:bCs w:val="1"/>
          <w:color w:val="auto"/>
        </w:rPr>
        <w:t xml:space="preserve"> ONE YEAR </w:t>
      </w:r>
      <w:r>
        <w:rPr>
          <w:rFonts w:ascii="Times New Roman" w:cs="Times New Roman" w:eastAsia="Times New Roman" w:hAnsi="Times New Roman"/>
          <w:sz w:val="18"/>
          <w:szCs w:val="18"/>
          <w:color w:val="auto"/>
        </w:rPr>
        <w: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Proposal Three—Advisory Vote on the Frequency of Future Advisory Votes on Executive Compensation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other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You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that you vote:</w:t>
      </w:r>
    </w:p>
    <w:p>
      <w:pPr>
        <w:spacing w:after="0" w:line="22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all eight of the nominees for election to the Board of Directors in Proposal One—Election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Proposal Two—Advisory Vote on Executive Compensation;</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frequency of every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xml:space="preserve"> on Proposal Three—Advisory Vote on the Frequency of Future Advisory Votes on Executive Compensation; and</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Proposal Four—Ratification of Appointment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May Change Your Vote or Revoke Your Proxy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you are a stockholder whose shares are registered in your name, you may revoke your proxy at any time before it is voted by one of the following methods:</w:t>
      </w:r>
    </w:p>
    <w:p>
      <w:pPr>
        <w:spacing w:after="0" w:line="162" w:lineRule="exact"/>
        <w:rPr>
          <w:sz w:val="20"/>
          <w:szCs w:val="20"/>
          <w:color w:val="auto"/>
        </w:rPr>
      </w:pPr>
    </w:p>
    <w:p>
      <w:pPr>
        <w:ind w:left="980" w:right="4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proper proxy with a more recent date than that of the proxy first given by following the Internet or telephone voting instructions or completing, signing, dating and returning a proxy card to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written notice of your revocation to our Corporate Secretary;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by ballot.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Requirement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presence at the Annual Meeting, in person or by proxy, of the holders of a majority (4,740,345 shares) of the outstanding shares of our common stock as of the record date will constitute a quorum for the transaction of business at the Annual Meeting. In general, shares of our common stock represented by proxies marked “For,” “Against,” “Abstain” or “Withheld” are counted in determining whether a quorum is present. In addition, a “broker non-vote” is counted in determining whether a quorum is present. A “broker non-vote” is a proxy returned by a broker on behalf of its beneficial owner customer that is not voted on a particular matter because voting instructions have not been received by the broker from the customer, and the broker has no discretionary authority to vote on behalf of such customer on such matter.</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describes the vote required for each of the proposals to be submitted to a vote of stockholders and the effect of any abstentions and broker non-votes.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and you do not indicate how you wish to vote, your broker is permitted to exercise its discretion to vote your shares only on certain “routine” matters. Proposal One—Election of Directors, Proposal Two—Advisory Vote on Executive Compensation, and Proposal Three— Advisory Vote on the Frequency of Future Advisory Votes on Executive Compensation are not “routine” matters. Accordingly, if you do not direct your broker how to vote, your broker may not exercise discretion and may not vote your shares on either of these two proposals. This is called a “broker non-vote,” and although your shares will be considered to be represented by proxy at the meeting, they will not be considered to be shares “entitled to vote” at the meeting and will not be counted as having been voted on the applicable proposal. Proposal Four—Ratification of Appointment of Independent Registered Public Accounting Firm is a “routine” matter, and, as such, your broker is permitted to exercise its discretion to vote your shares for or against the proposals in the absence of your instruction.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shd w:val="clear" w:color="auto" w:fill="DDDDDD"/>
          </w:tcPr>
          <w:p>
            <w:pPr>
              <w:spacing w:after="0"/>
              <w:rPr>
                <w:sz w:val="17"/>
                <w:szCs w:val="17"/>
                <w:color w:val="auto"/>
              </w:rPr>
            </w:pPr>
          </w:p>
        </w:tc>
        <w:tc>
          <w:tcPr>
            <w:tcW w:w="3980" w:type="dxa"/>
            <w:vAlign w:val="bottom"/>
            <w:shd w:val="clear" w:color="auto" w:fill="DDDDDD"/>
          </w:tcPr>
          <w:p>
            <w:pPr>
              <w:spacing w:after="0"/>
              <w:rPr>
                <w:sz w:val="17"/>
                <w:szCs w:val="17"/>
                <w:color w:val="auto"/>
              </w:rPr>
            </w:pPr>
          </w:p>
        </w:tc>
        <w:tc>
          <w:tcPr>
            <w:tcW w:w="2640" w:type="dxa"/>
            <w:vAlign w:val="bottom"/>
            <w:shd w:val="clear" w:color="auto" w:fill="DDDDDD"/>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Effect of Votes</w:t>
            </w:r>
          </w:p>
        </w:tc>
        <w:tc>
          <w:tcPr>
            <w:tcW w:w="1960" w:type="dxa"/>
            <w:vAlign w:val="bottom"/>
            <w:shd w:val="clear" w:color="auto" w:fill="DDDDDD"/>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16"/>
        </w:trPr>
        <w:tc>
          <w:tcPr>
            <w:tcW w:w="2660" w:type="dxa"/>
            <w:vAlign w:val="bottom"/>
            <w:shd w:val="clear" w:color="auto" w:fill="DDDDDD"/>
          </w:tcPr>
          <w:p>
            <w:pPr>
              <w:spacing w:after="0"/>
              <w:rPr>
                <w:sz w:val="18"/>
                <w:szCs w:val="18"/>
                <w:color w:val="auto"/>
              </w:rPr>
            </w:pPr>
          </w:p>
        </w:tc>
        <w:tc>
          <w:tcPr>
            <w:tcW w:w="3980" w:type="dxa"/>
            <w:vAlign w:val="bottom"/>
            <w:shd w:val="clear" w:color="auto" w:fill="DDDDDD"/>
          </w:tcPr>
          <w:p>
            <w:pPr>
              <w:spacing w:after="0"/>
              <w:rPr>
                <w:sz w:val="18"/>
                <w:szCs w:val="18"/>
                <w:color w:val="auto"/>
              </w:rPr>
            </w:pPr>
          </w:p>
        </w:tc>
        <w:tc>
          <w:tcPr>
            <w:tcW w:w="2640" w:type="dxa"/>
            <w:vAlign w:val="bottom"/>
            <w:shd w:val="clear" w:color="auto" w:fill="DDDDDD"/>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Withheld /</w:t>
            </w:r>
          </w:p>
        </w:tc>
        <w:tc>
          <w:tcPr>
            <w:tcW w:w="1960" w:type="dxa"/>
            <w:vAlign w:val="bottom"/>
            <w:shd w:val="clear" w:color="auto" w:fill="DDDDDD"/>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6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980" w:type="dxa"/>
            <w:vAlign w:val="bottom"/>
            <w:tcBorders>
              <w:bottom w:val="single" w:sz="8" w:color="auto"/>
            </w:tcBorders>
            <w:shd w:val="clear" w:color="auto" w:fill="DDDDDD"/>
          </w:tcPr>
          <w:p>
            <w:pPr>
              <w:ind w:left="1960"/>
              <w:spacing w:after="0"/>
              <w:rPr>
                <w:sz w:val="20"/>
                <w:szCs w:val="20"/>
                <w:color w:val="auto"/>
              </w:rPr>
            </w:pPr>
            <w:r>
              <w:rPr>
                <w:rFonts w:ascii="Times New Roman" w:cs="Times New Roman" w:eastAsia="Times New Roman" w:hAnsi="Times New Roman"/>
                <w:sz w:val="18"/>
                <w:szCs w:val="18"/>
                <w:b w:val="1"/>
                <w:bCs w:val="1"/>
                <w:color w:val="auto"/>
              </w:rPr>
              <w:t>Votes Required</w:t>
            </w:r>
          </w:p>
        </w:tc>
        <w:tc>
          <w:tcPr>
            <w:tcW w:w="2640" w:type="dxa"/>
            <w:vAlign w:val="bottom"/>
            <w:tcBorders>
              <w:bottom w:val="single" w:sz="8" w:color="auto"/>
            </w:tcBorders>
            <w:shd w:val="clear" w:color="auto" w:fill="DDDDDD"/>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960" w:type="dxa"/>
            <w:vAlign w:val="bottom"/>
            <w:tcBorders>
              <w:bottom w:val="single" w:sz="8" w:color="auto"/>
            </w:tcBorders>
            <w:shd w:val="clear" w:color="auto" w:fill="DDDDDD"/>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tbl>
      <w:tblPr>
        <w:tblLayout w:type="fixed"/>
        <w:tblInd w:w="0" w:type="dxa"/>
        <w:tblCellMar>
          <w:top w:w="0" w:type="dxa"/>
          <w:left w:w="0" w:type="dxa"/>
          <w:bottom w:w="0" w:type="dxa"/>
          <w:right w:w="0" w:type="dxa"/>
        </w:tblCellMar>
      </w:tblPr>
      <w:tr>
        <w:trPr>
          <w:trHeight w:val="175"/>
        </w:trPr>
        <w:tc>
          <w:tcPr>
            <w:tcW w:w="3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Proposal One: Election of Directors</w:t>
            </w:r>
          </w:p>
        </w:tc>
        <w:tc>
          <w:tcPr>
            <w:tcW w:w="352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color w:val="auto"/>
              </w:rPr>
              <w:t>Plurality of the voting power of the</w:t>
            </w:r>
          </w:p>
        </w:tc>
      </w:tr>
      <w:tr>
        <w:trPr>
          <w:trHeight w:val="218"/>
        </w:trPr>
        <w:tc>
          <w:tcPr>
            <w:tcW w:w="980" w:type="dxa"/>
            <w:vAlign w:val="bottom"/>
            <w:tcBorders>
              <w:top w:val="single" w:sz="8" w:color="auto"/>
            </w:tcBorders>
          </w:tcPr>
          <w:p>
            <w:pPr>
              <w:spacing w:after="0"/>
              <w:rPr>
                <w:sz w:val="18"/>
                <w:szCs w:val="18"/>
                <w:color w:val="auto"/>
              </w:rPr>
            </w:pPr>
          </w:p>
        </w:tc>
        <w:tc>
          <w:tcPr>
            <w:tcW w:w="2160" w:type="dxa"/>
            <w:vAlign w:val="bottom"/>
          </w:tcPr>
          <w:p>
            <w:pPr>
              <w:spacing w:after="0"/>
              <w:rPr>
                <w:sz w:val="18"/>
                <w:szCs w:val="18"/>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shares present in person or represented</w:t>
            </w:r>
          </w:p>
        </w:tc>
      </w:tr>
      <w:tr>
        <w:trPr>
          <w:trHeight w:val="216"/>
        </w:trPr>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 proxy at the meeting and entitled to</w:t>
            </w:r>
          </w:p>
        </w:tc>
      </w:tr>
      <w:tr>
        <w:trPr>
          <w:trHeight w:val="216"/>
        </w:trPr>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vote on the election of directors. This</w:t>
            </w:r>
          </w:p>
        </w:tc>
      </w:tr>
      <w:tr>
        <w:trPr>
          <w:trHeight w:val="216"/>
        </w:trPr>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means that the eight nominees receiving</w:t>
            </w:r>
          </w:p>
        </w:tc>
      </w:tr>
      <w:tr>
        <w:trPr>
          <w:trHeight w:val="216"/>
        </w:trPr>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highest number of affirmative</w:t>
            </w:r>
          </w:p>
        </w:tc>
      </w:tr>
      <w:tr>
        <w:trPr>
          <w:trHeight w:val="220"/>
        </w:trPr>
        <w:tc>
          <w:tcPr>
            <w:tcW w:w="9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“FOR” votes will be elected as directors.</w:t>
            </w:r>
          </w:p>
        </w:tc>
      </w:tr>
      <w:tr>
        <w:trPr>
          <w:trHeight w:val="194"/>
        </w:trPr>
        <w:tc>
          <w:tcPr>
            <w:tcW w:w="9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Votes withheld will have no effect,</w:t>
            </w:r>
          </w:p>
        </w:tc>
        <w:tc>
          <w:tcPr>
            <w:tcW w:w="16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w w:val="98"/>
              </w:rPr>
              <w:t>Broker non-votes will</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unless there are more votes</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have no effect.</w:t>
            </w:r>
          </w:p>
        </w:tc>
      </w:tr>
      <w:tr>
        <w:trPr>
          <w:trHeight w:val="39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withheld than “FOR” votes.</w:t>
            </w:r>
            <w:r>
              <w:rPr>
                <w:rFonts w:ascii="Times New Roman" w:cs="Times New Roman" w:eastAsia="Times New Roman" w:hAnsi="Times New Roman"/>
                <w:sz w:val="29"/>
                <w:szCs w:val="29"/>
                <w:color w:val="auto"/>
                <w:vertAlign w:val="superscript"/>
              </w:rPr>
              <w:t>(1)</w:t>
            </w:r>
          </w:p>
        </w:tc>
        <w:tc>
          <w:tcPr>
            <w:tcW w:w="1660" w:type="dxa"/>
            <w:vAlign w:val="bottom"/>
          </w:tcPr>
          <w:p>
            <w:pPr>
              <w:spacing w:after="0"/>
              <w:rPr>
                <w:sz w:val="24"/>
                <w:szCs w:val="24"/>
                <w:color w:val="auto"/>
              </w:rPr>
            </w:pPr>
          </w:p>
        </w:tc>
      </w:tr>
    </w:tbl>
    <w:p>
      <w:pPr>
        <w:spacing w:after="0" w:line="1073" w:lineRule="exact"/>
        <w:rPr>
          <w:sz w:val="20"/>
          <w:szCs w:val="20"/>
          <w:color w:val="auto"/>
        </w:rPr>
      </w:pPr>
    </w:p>
    <w:p>
      <w:pPr>
        <w:sectPr>
          <w:pgSz w:w="11900" w:h="16838" w:orient="portrait"/>
          <w:cols w:equalWidth="0" w:num="2">
            <w:col w:w="6660" w:space="120"/>
            <w:col w:w="4460"/>
          </w:cols>
          <w:pgMar w:left="320" w:top="576" w:right="339" w:bottom="1440" w:gutter="0" w:footer="0" w:header="0"/>
          <w:type w:val="continuous"/>
        </w:sectPr>
      </w:pPr>
    </w:p>
    <w:p>
      <w:pPr>
        <w:spacing w:after="0" w:line="292" w:lineRule="auto"/>
        <w:rPr>
          <w:sz w:val="20"/>
          <w:szCs w:val="20"/>
          <w:color w:val="auto"/>
        </w:rPr>
      </w:pPr>
      <w:r>
        <w:rPr>
          <w:rFonts w:ascii="Times New Roman" w:cs="Times New Roman" w:eastAsia="Times New Roman" w:hAnsi="Times New Roman"/>
          <w:sz w:val="18"/>
          <w:szCs w:val="18"/>
          <w:u w:val="single" w:color="auto"/>
          <w:color w:val="auto"/>
        </w:rPr>
        <w:t>Proposal Two</w:t>
      </w:r>
      <w:r>
        <w:rPr>
          <w:rFonts w:ascii="Times New Roman" w:cs="Times New Roman" w:eastAsia="Times New Roman" w:hAnsi="Times New Roman"/>
          <w:sz w:val="18"/>
          <w:szCs w:val="18"/>
          <w:color w:val="auto"/>
        </w:rPr>
        <w:t>: Advisory Vote on Executive Compensation</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Affirmative vote of a majority of the voting power of the shares present or represented by proxy at the meeting and entitled to vote on the proposal.</w:t>
      </w:r>
    </w:p>
    <w:p>
      <w:pPr>
        <w:spacing w:after="0" w:line="20" w:lineRule="exact"/>
        <w:rPr>
          <w:sz w:val="20"/>
          <w:szCs w:val="20"/>
          <w:color w:val="auto"/>
        </w:rPr>
      </w:pPr>
      <w:r>
        <w:rPr>
          <w:sz w:val="20"/>
          <w:szCs w:val="20"/>
          <w:color w:val="auto"/>
        </w:rPr>
        <w:br w:type="column"/>
      </w: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Abstentions will have the effect of</w:t>
      </w:r>
      <w:r>
        <w:rPr>
          <w:sz w:val="20"/>
          <w:szCs w:val="20"/>
          <w:color w:val="auto"/>
        </w:rPr>
        <w:tab/>
      </w:r>
      <w:r>
        <w:rPr>
          <w:rFonts w:ascii="Times New Roman" w:cs="Times New Roman" w:eastAsia="Times New Roman" w:hAnsi="Times New Roman"/>
          <w:sz w:val="17"/>
          <w:szCs w:val="17"/>
          <w:color w:val="auto"/>
        </w:rPr>
        <w:t>Broker non-votes will</w:t>
      </w:r>
    </w:p>
    <w:p>
      <w:pPr>
        <w:spacing w:after="0" w:line="27"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a vote against the proposal.</w:t>
      </w:r>
      <w:r>
        <w:rPr>
          <w:sz w:val="20"/>
          <w:szCs w:val="20"/>
          <w:color w:val="auto"/>
        </w:rPr>
        <w:tab/>
      </w:r>
      <w:r>
        <w:rPr>
          <w:rFonts w:ascii="Times New Roman" w:cs="Times New Roman" w:eastAsia="Times New Roman" w:hAnsi="Times New Roman"/>
          <w:sz w:val="17"/>
          <w:szCs w:val="17"/>
          <w:color w:val="auto"/>
        </w:rPr>
        <w:t>have no effect.</w:t>
      </w:r>
    </w:p>
    <w:p>
      <w:pPr>
        <w:spacing w:after="0" w:line="639" w:lineRule="exact"/>
        <w:rPr>
          <w:sz w:val="20"/>
          <w:szCs w:val="20"/>
          <w:color w:val="auto"/>
        </w:rPr>
      </w:pPr>
    </w:p>
    <w:p>
      <w:pPr>
        <w:sectPr>
          <w:pgSz w:w="11900" w:h="16838" w:orient="portrait"/>
          <w:cols w:equalWidth="0" w:num="3">
            <w:col w:w="3120" w:space="580"/>
            <w:col w:w="2900" w:space="180"/>
            <w:col w:w="4460"/>
          </w:cols>
          <w:pgMar w:left="320" w:top="576" w:right="339" w:bottom="1440" w:gutter="0" w:footer="0" w:header="0"/>
          <w:type w:val="continuous"/>
        </w:sectPr>
      </w:pPr>
    </w:p>
    <w:p>
      <w:pPr>
        <w:spacing w:after="0" w:line="276" w:lineRule="auto"/>
        <w:rPr>
          <w:sz w:val="20"/>
          <w:szCs w:val="20"/>
          <w:color w:val="auto"/>
        </w:rPr>
      </w:pPr>
      <w:r>
        <w:rPr>
          <w:rFonts w:ascii="Times New Roman" w:cs="Times New Roman" w:eastAsia="Times New Roman" w:hAnsi="Times New Roman"/>
          <w:sz w:val="18"/>
          <w:szCs w:val="18"/>
          <w:u w:val="single" w:color="auto"/>
          <w:color w:val="auto"/>
        </w:rPr>
        <w:t>Proposal Three</w:t>
      </w:r>
      <w:r>
        <w:rPr>
          <w:rFonts w:ascii="Times New Roman" w:cs="Times New Roman" w:eastAsia="Times New Roman" w:hAnsi="Times New Roman"/>
          <w:sz w:val="18"/>
          <w:szCs w:val="18"/>
          <w:color w:val="auto"/>
        </w:rPr>
        <w:t>: Advisory Vote on the Frequency of Future Advisory Votes on Executive Compensation</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The frequency option receiving an affirmative vote of a majority of the voting power of the shares present in person or represented by proxy at the meeting and entitled to vote will be the option selected by the stockholders on this advisory vote. If none of the alternatives receives a majority vote, then the frequency option receiving the greatest number of votes cast will be deemed the preferred option on this advisory vote.</w:t>
      </w:r>
    </w:p>
    <w:p>
      <w:pPr>
        <w:spacing w:after="0" w:line="20" w:lineRule="exact"/>
        <w:rPr>
          <w:sz w:val="20"/>
          <w:szCs w:val="20"/>
          <w:color w:val="auto"/>
        </w:rPr>
      </w:pPr>
      <w:r>
        <w:rPr>
          <w:sz w:val="20"/>
          <w:szCs w:val="20"/>
          <w:color w:val="auto"/>
        </w:rPr>
        <w:br w:type="column"/>
      </w: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Abstentions will have the effect of</w:t>
      </w:r>
      <w:r>
        <w:rPr>
          <w:sz w:val="20"/>
          <w:szCs w:val="20"/>
          <w:color w:val="auto"/>
        </w:rPr>
        <w:tab/>
      </w:r>
      <w:r>
        <w:rPr>
          <w:rFonts w:ascii="Times New Roman" w:cs="Times New Roman" w:eastAsia="Times New Roman" w:hAnsi="Times New Roman"/>
          <w:sz w:val="17"/>
          <w:szCs w:val="17"/>
          <w:color w:val="auto"/>
        </w:rPr>
        <w:t>Broker non-votes will</w:t>
      </w:r>
    </w:p>
    <w:p>
      <w:pPr>
        <w:spacing w:after="0" w:line="27"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a vote against the proposal.</w:t>
      </w:r>
      <w:r>
        <w:rPr>
          <w:sz w:val="20"/>
          <w:szCs w:val="20"/>
          <w:color w:val="auto"/>
        </w:rPr>
        <w:tab/>
      </w:r>
      <w:r>
        <w:rPr>
          <w:rFonts w:ascii="Times New Roman" w:cs="Times New Roman" w:eastAsia="Times New Roman" w:hAnsi="Times New Roman"/>
          <w:sz w:val="17"/>
          <w:szCs w:val="17"/>
          <w:color w:val="auto"/>
        </w:rPr>
        <w:t>have no effect.</w:t>
      </w:r>
    </w:p>
    <w:p>
      <w:pPr>
        <w:spacing w:after="0" w:line="2377" w:lineRule="exact"/>
        <w:rPr>
          <w:sz w:val="20"/>
          <w:szCs w:val="20"/>
          <w:color w:val="auto"/>
        </w:rPr>
      </w:pPr>
    </w:p>
    <w:p>
      <w:pPr>
        <w:sectPr>
          <w:pgSz w:w="11900" w:h="16838" w:orient="portrait"/>
          <w:cols w:equalWidth="0" w:num="3">
            <w:col w:w="3540" w:space="160"/>
            <w:col w:w="2820" w:space="260"/>
            <w:col w:w="4460"/>
          </w:cols>
          <w:pgMar w:left="320" w:top="576" w:right="339" w:bottom="1440" w:gutter="0" w:footer="0" w:header="0"/>
          <w:type w:val="continuous"/>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DDDDDD"/>
          </w:tcPr>
          <w:p>
            <w:pPr>
              <w:spacing w:after="0"/>
              <w:rPr>
                <w:sz w:val="17"/>
                <w:szCs w:val="17"/>
                <w:color w:val="auto"/>
              </w:rPr>
            </w:pPr>
          </w:p>
        </w:tc>
        <w:tc>
          <w:tcPr>
            <w:tcW w:w="3940" w:type="dxa"/>
            <w:vAlign w:val="bottom"/>
            <w:shd w:val="clear" w:color="auto" w:fill="DDDDDD"/>
          </w:tcPr>
          <w:p>
            <w:pPr>
              <w:spacing w:after="0"/>
              <w:rPr>
                <w:sz w:val="17"/>
                <w:szCs w:val="17"/>
                <w:color w:val="auto"/>
              </w:rPr>
            </w:pPr>
          </w:p>
        </w:tc>
        <w:tc>
          <w:tcPr>
            <w:tcW w:w="2620" w:type="dxa"/>
            <w:vAlign w:val="bottom"/>
            <w:shd w:val="clear" w:color="auto" w:fill="DDDDDD"/>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Effect of Votes</w:t>
            </w:r>
          </w:p>
        </w:tc>
        <w:tc>
          <w:tcPr>
            <w:tcW w:w="208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of</w:t>
            </w:r>
          </w:p>
        </w:tc>
      </w:tr>
      <w:tr>
        <w:trPr>
          <w:trHeight w:val="216"/>
        </w:trPr>
        <w:tc>
          <w:tcPr>
            <w:tcW w:w="2600" w:type="dxa"/>
            <w:vAlign w:val="bottom"/>
            <w:shd w:val="clear" w:color="auto" w:fill="DDDDDD"/>
          </w:tcPr>
          <w:p>
            <w:pPr>
              <w:spacing w:after="0"/>
              <w:rPr>
                <w:sz w:val="18"/>
                <w:szCs w:val="18"/>
                <w:color w:val="auto"/>
              </w:rPr>
            </w:pPr>
          </w:p>
        </w:tc>
        <w:tc>
          <w:tcPr>
            <w:tcW w:w="3940" w:type="dxa"/>
            <w:vAlign w:val="bottom"/>
            <w:shd w:val="clear" w:color="auto" w:fill="DDDDDD"/>
          </w:tcPr>
          <w:p>
            <w:pPr>
              <w:spacing w:after="0"/>
              <w:rPr>
                <w:sz w:val="18"/>
                <w:szCs w:val="18"/>
                <w:color w:val="auto"/>
              </w:rPr>
            </w:pPr>
          </w:p>
        </w:tc>
        <w:tc>
          <w:tcPr>
            <w:tcW w:w="2620" w:type="dxa"/>
            <w:vAlign w:val="bottom"/>
            <w:shd w:val="clear" w:color="auto" w:fill="DDDDDD"/>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Withheld /</w:t>
            </w:r>
          </w:p>
        </w:tc>
        <w:tc>
          <w:tcPr>
            <w:tcW w:w="2080" w:type="dxa"/>
            <w:vAlign w:val="bottom"/>
            <w:shd w:val="clear" w:color="auto" w:fill="DDDDDD"/>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60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940" w:type="dxa"/>
            <w:vAlign w:val="bottom"/>
            <w:tcBorders>
              <w:bottom w:val="single" w:sz="8" w:color="auto"/>
            </w:tcBorders>
            <w:shd w:val="clear" w:color="auto" w:fill="DDDDDD"/>
          </w:tcPr>
          <w:p>
            <w:pPr>
              <w:ind w:left="1940"/>
              <w:spacing w:after="0"/>
              <w:rPr>
                <w:sz w:val="20"/>
                <w:szCs w:val="20"/>
                <w:color w:val="auto"/>
              </w:rPr>
            </w:pPr>
            <w:r>
              <w:rPr>
                <w:rFonts w:ascii="Times New Roman" w:cs="Times New Roman" w:eastAsia="Times New Roman" w:hAnsi="Times New Roman"/>
                <w:sz w:val="18"/>
                <w:szCs w:val="18"/>
                <w:b w:val="1"/>
                <w:bCs w:val="1"/>
                <w:color w:val="auto"/>
              </w:rPr>
              <w:t>Votes Required</w:t>
            </w:r>
          </w:p>
        </w:tc>
        <w:tc>
          <w:tcPr>
            <w:tcW w:w="2620" w:type="dxa"/>
            <w:vAlign w:val="bottom"/>
            <w:tcBorders>
              <w:bottom w:val="single" w:sz="8" w:color="auto"/>
            </w:tcBorders>
            <w:shd w:val="clear" w:color="auto" w:fill="DDDDDD"/>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80" w:type="dxa"/>
            <w:vAlign w:val="bottom"/>
            <w:tcBorders>
              <w:bottom w:val="single" w:sz="8" w:color="auto"/>
            </w:tcBorders>
            <w:shd w:val="clear" w:color="auto" w:fill="DDDDDD"/>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bl>
    <w:p>
      <w:pPr>
        <w:spacing w:after="0" w:line="1" w:lineRule="exact"/>
        <w:rPr>
          <w:sz w:val="20"/>
          <w:szCs w:val="20"/>
          <w:color w:val="auto"/>
        </w:rPr>
      </w:pPr>
    </w:p>
    <w:p>
      <w:pPr>
        <w:sectPr>
          <w:pgSz w:w="11900" w:h="16838" w:orient="portrait"/>
          <w:cols w:equalWidth="0" w:num="1">
            <w:col w:w="11240"/>
          </w:cols>
          <w:pgMar w:left="320" w:top="585" w:right="339" w:bottom="1440" w:gutter="0" w:footer="0" w:header="0"/>
        </w:sectPr>
      </w:pPr>
    </w:p>
    <w:tbl>
      <w:tblPr>
        <w:tblLayout w:type="fixed"/>
        <w:tblInd w:w="0" w:type="dxa"/>
        <w:tblCellMar>
          <w:top w:w="0" w:type="dxa"/>
          <w:left w:w="0" w:type="dxa"/>
          <w:bottom w:w="0" w:type="dxa"/>
          <w:right w:w="0" w:type="dxa"/>
        </w:tblCellMar>
      </w:tblPr>
      <w:tr>
        <w:trPr>
          <w:trHeight w:val="176"/>
        </w:trPr>
        <w:tc>
          <w:tcPr>
            <w:tcW w:w="3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Proposal Four: Ratification of Appointment of</w:t>
            </w:r>
          </w:p>
        </w:tc>
        <w:tc>
          <w:tcPr>
            <w:tcW w:w="29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Affirmative vote of a majority of the</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 power of the shares present or</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represented by proxy at the meeting and</w:t>
            </w:r>
          </w:p>
        </w:tc>
        <w:tc>
          <w:tcPr>
            <w:tcW w:w="0" w:type="dxa"/>
            <w:vAlign w:val="bottom"/>
          </w:tcPr>
          <w:p>
            <w:pPr>
              <w:spacing w:after="0"/>
              <w:rPr>
                <w:sz w:val="1"/>
                <w:szCs w:val="1"/>
                <w:color w:val="auto"/>
              </w:rPr>
            </w:pPr>
          </w:p>
        </w:tc>
      </w:tr>
      <w:tr>
        <w:trPr>
          <w:trHeight w:val="234"/>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0" w:type="dxa"/>
            <w:vAlign w:val="bottom"/>
          </w:tcPr>
          <w:p>
            <w:pPr>
              <w:spacing w:after="0"/>
              <w:rPr>
                <w:sz w:val="1"/>
                <w:szCs w:val="1"/>
                <w:color w:val="auto"/>
              </w:rPr>
            </w:pPr>
          </w:p>
        </w:tc>
      </w:tr>
      <w:tr>
        <w:trPr>
          <w:trHeight w:val="216"/>
        </w:trPr>
        <w:tc>
          <w:tcPr>
            <w:tcW w:w="356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Times New Roman" w:cs="Times New Roman" w:eastAsia="Times New Roman" w:hAnsi="Times New Roman"/>
          <w:sz w:val="17"/>
          <w:szCs w:val="17"/>
          <w:color w:val="auto"/>
        </w:rPr>
        <w:t>Abstentions will have the effect of a vote against the proposal.</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Times New Roman" w:cs="Times New Roman" w:eastAsia="Times New Roman" w:hAnsi="Times New Roman"/>
          <w:sz w:val="18"/>
          <w:szCs w:val="18"/>
          <w:color w:val="auto"/>
        </w:rPr>
        <w:t>We do not expect any broker non-votes on this proposal.</w:t>
      </w:r>
      <w:r>
        <w:rPr>
          <w:rFonts w:ascii="Times New Roman" w:cs="Times New Roman" w:eastAsia="Times New Roman" w:hAnsi="Times New Roman"/>
          <w:sz w:val="29"/>
          <w:szCs w:val="29"/>
          <w:color w:val="auto"/>
          <w:vertAlign w:val="superscript"/>
        </w:rPr>
        <w:t>(4)</w:t>
      </w:r>
    </w:p>
    <w:p>
      <w:pPr>
        <w:spacing w:after="0" w:line="443" w:lineRule="exact"/>
        <w:rPr>
          <w:sz w:val="20"/>
          <w:szCs w:val="20"/>
          <w:color w:val="auto"/>
        </w:rPr>
      </w:pPr>
    </w:p>
    <w:p>
      <w:pPr>
        <w:sectPr>
          <w:pgSz w:w="11900" w:h="16838" w:orient="portrait"/>
          <w:cols w:equalWidth="0" w:num="3">
            <w:col w:w="6520" w:space="180"/>
            <w:col w:w="2280" w:space="280"/>
            <w:col w:w="1980"/>
          </w:cols>
          <w:pgMar w:left="320" w:top="585" w:right="339" w:bottom="1440" w:gutter="0" w:footer="0" w:header="0"/>
          <w:type w:val="continuous"/>
        </w:sectPr>
      </w:pPr>
    </w:p>
    <w:p>
      <w:pPr>
        <w:ind w:left="660" w:right="100" w:hanging="652"/>
        <w:spacing w:after="0" w:line="261" w:lineRule="auto"/>
        <w:tabs>
          <w:tab w:leader="none" w:pos="6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Corporate Governance Guidelines, in an uncontested election of directors, any nominee for director who receives a greater number of votes “withheld” from his or her election than votes “for” his or her election by stockholders present in person or by proxy at the Annual Meeting and entitled to vote in the election of directors is required to tender a written offer to resign from the Board of Directors within five business days of the certification of the stockholder vote by the Inspector of Election.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7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an advisory vote, the Compensation Committee and Board expect to take in account the outcome of this vote when considering future executive compensation.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8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an advisory vote, the Compensation Committee and Board expect to take in account the outcome of this vote when considering the frequency of future advisory votes on executive compensation.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applicable NYSE rules, brokers and custodians may vote on a ratification of appointment of independent registered public accounting firm proposal in their discretion; and therefore, we do not expect any broker non-votes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management does not intend to present other items of business and knows of no items of business that are likely to be brought before the Annual Meeting, except those described in this proxy statement. However, if any other matters should properly come before the Annual Meeting, the persons named on the proxy card will have discretionary authority to vote such proxy in accordance with their best judgment on the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at the Annual Meeting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presiding officer at the Annual Meeting will determine how business at the meeting will be conducted. Only matters brought before the Annual Meeting in accordance with our Bylaws will be considered. Only a natural person present at the Annual Meeting who is either one of our stockholders, or is acting on behalf of one of our stockholders, may make a motion or second a motion. A person acting on behalf of a stockholder must present a written statement executed by the stockholder or the duly-authorized representative of the stockholder on whose behalf the person purports to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annual reports and the Notice of Internet Availability of Proxy Materials. This means that only one proxy statement, Annual Report to Stockholders or Notice of Internet Availability of Proxy Materials may have been sent to multiple stockholders in each household, unless contrary instructions have been given. We will promptly deliver any of these documents to any stockholder upon written or oral request to our Stockholder Information Department, Northern Technologies International Corporation, 4201 Woodland Road, Circle Pines, Minnesota 55014, telephone: (763) 225-6637. Any stockholder who wants to receive separate copies of this proxy statement, our Annual Report to Stockholders or the Notice of Internet Availability of Proxy Materials in the future, or any stockholder who is receiving multiple copies and would like to receive only one copy per household, should contact the stockholder’s bank, broker or other nominee record holder, or the stockholder may contact us at the above address and telephone number.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cost of soliciting proxies, including the preparation, assembly, electronic availability and mailing of proxies and soliciting material, as well as the cost of making available or forwarding this material to the beneficial owners of our common stock, will be borne by NTIC. Our directors, officers and regular employees may, without compensation other than their regular compensation, solicit proxies by telephone, e-mail, facsimile or personal conversation. We may reimburse brokerage firms and others for expenses in making available or forwarding solicitation materials to the beneficial owners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Third Amended and Restated Bylaws provide that the Board of Directors will consist of that number of directors as may be determined by the Board of Directors or by the stockholders at an annual meeting. The Board of Directors has fixed the number of directors at eight.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Board of Directors has nominated the following eight individuals to serve as our directors until the next annual meeting of stockholders or until their successors are elected and qualified. All nominees named below are current members of the Board of Directors.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Nancy E. Calderon</w:t>
            </w:r>
          </w:p>
        </w:tc>
        <w:tc>
          <w:tcPr>
            <w:tcW w:w="2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Ramani Narayan, Ph.D.</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Sarah E. Kemp</w:t>
            </w:r>
          </w:p>
        </w:tc>
        <w:tc>
          <w:tcPr>
            <w:tcW w:w="2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Richard J. Nigon</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Sunggyu Lee, Ph.D.</w:t>
            </w:r>
          </w:p>
        </w:tc>
        <w:tc>
          <w:tcPr>
            <w:tcW w:w="2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Cristina Pinho</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 Patrick Lynch</w:t>
            </w:r>
          </w:p>
        </w:tc>
        <w:tc>
          <w:tcPr>
            <w:tcW w:w="20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Konstantin von Falkenhausen</w:t>
            </w:r>
          </w:p>
        </w:tc>
      </w:tr>
    </w:tbl>
    <w:p>
      <w:pPr>
        <w:spacing w:after="0" w:line="19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Proxies can only be voted for the number of persons named as nominees in this proxy statement, which is eight. If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of Directors has no reason to believe that any of the nominees will be unable to serve.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Current Directors and Board Nominees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principal occupation of each current director and each individual who has been nominated by the Board of Directors to serve as a director of NTIC, as well as how long each individual has served as a director of NTIC.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shd w:val="clear" w:color="auto" w:fill="DDDDDD"/>
          </w:tcPr>
          <w:p>
            <w:pPr>
              <w:spacing w:after="0"/>
              <w:rPr>
                <w:sz w:val="18"/>
                <w:szCs w:val="18"/>
                <w:color w:val="auto"/>
              </w:rPr>
            </w:pPr>
          </w:p>
        </w:tc>
        <w:tc>
          <w:tcPr>
            <w:tcW w:w="1160" w:type="dxa"/>
            <w:vAlign w:val="bottom"/>
            <w:shd w:val="clear" w:color="auto" w:fill="DDDDDD"/>
          </w:tcPr>
          <w:p>
            <w:pPr>
              <w:spacing w:after="0"/>
              <w:rPr>
                <w:sz w:val="18"/>
                <w:szCs w:val="18"/>
                <w:color w:val="auto"/>
              </w:rPr>
            </w:pPr>
          </w:p>
        </w:tc>
        <w:tc>
          <w:tcPr>
            <w:tcW w:w="5840" w:type="dxa"/>
            <w:vAlign w:val="bottom"/>
            <w:shd w:val="clear" w:color="auto" w:fill="DDDDDD"/>
          </w:tcPr>
          <w:p>
            <w:pPr>
              <w:spacing w:after="0"/>
              <w:rPr>
                <w:sz w:val="18"/>
                <w:szCs w:val="18"/>
                <w:color w:val="auto"/>
              </w:rPr>
            </w:pPr>
          </w:p>
        </w:tc>
        <w:tc>
          <w:tcPr>
            <w:tcW w:w="10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r>
        <w:trPr>
          <w:trHeight w:val="238"/>
        </w:trPr>
        <w:tc>
          <w:tcPr>
            <w:tcW w:w="32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60" w:type="dxa"/>
            <w:vAlign w:val="bottom"/>
            <w:tcBorders>
              <w:bottom w:val="single" w:sz="8" w:color="auto"/>
            </w:tcBorders>
            <w:shd w:val="clear" w:color="auto" w:fill="DDDDDD"/>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840" w:type="dxa"/>
            <w:vAlign w:val="bottom"/>
            <w:tcBorders>
              <w:bottom w:val="single" w:sz="8" w:color="auto"/>
            </w:tcBorders>
            <w:shd w:val="clear" w:color="auto" w:fill="DDDDDD"/>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c>
          <w:tcPr>
            <w:tcW w:w="100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191"/>
        </w:trPr>
        <w:tc>
          <w:tcPr>
            <w:tcW w:w="324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Nancy E. Calderon</w:t>
            </w:r>
            <w:r>
              <w:rPr>
                <w:rFonts w:ascii="Times New Roman" w:cs="Times New Roman" w:eastAsia="Times New Roman" w:hAnsi="Times New Roman"/>
                <w:sz w:val="22"/>
                <w:szCs w:val="22"/>
                <w:color w:val="auto"/>
                <w:vertAlign w:val="superscript"/>
              </w:rPr>
              <w:t>(1)(2)</w:t>
            </w:r>
          </w:p>
        </w:tc>
        <w:tc>
          <w:tcPr>
            <w:tcW w:w="1160" w:type="dxa"/>
            <w:vAlign w:val="bottom"/>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w w:val="99"/>
              </w:rPr>
              <w:t>66</w:t>
            </w:r>
          </w:p>
        </w:tc>
        <w:tc>
          <w:tcPr>
            <w:tcW w:w="58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Former Partner of KPMG LLP</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Sarah E. Kemp</w:t>
            </w:r>
            <w:r>
              <w:rPr>
                <w:rFonts w:ascii="Times New Roman" w:cs="Times New Roman" w:eastAsia="Times New Roman" w:hAnsi="Times New Roman"/>
                <w:sz w:val="25"/>
                <w:szCs w:val="25"/>
                <w:color w:val="auto"/>
                <w:vertAlign w:val="superscript"/>
              </w:rPr>
              <w:t>(3)</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59</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International Government Affairs of Intel Corporation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Sunggyu Lee, Ph.D.</w:t>
            </w:r>
            <w:r>
              <w:rPr>
                <w:rFonts w:ascii="Times New Roman" w:cs="Times New Roman" w:eastAsia="Times New Roman" w:hAnsi="Times New Roman"/>
                <w:sz w:val="25"/>
                <w:szCs w:val="25"/>
                <w:color w:val="auto"/>
                <w:vertAlign w:val="superscript"/>
              </w:rPr>
              <w:t>(3)</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73</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Technologist of Chemtech Innovators LLC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58</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of NTIC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76</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Distinguished Professor in Department of Chemical Engineering &amp; Materials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6"/>
        </w:trPr>
        <w:tc>
          <w:tcPr>
            <w:tcW w:w="3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Science at Michigan State University</w:t>
            </w:r>
          </w:p>
        </w:tc>
        <w:tc>
          <w:tcPr>
            <w:tcW w:w="1000" w:type="dxa"/>
            <w:vAlign w:val="bottom"/>
          </w:tcPr>
          <w:p>
            <w:pPr>
              <w:spacing w:after="0"/>
              <w:rPr>
                <w:sz w:val="18"/>
                <w:szCs w:val="18"/>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Richard J. Nigon</w:t>
            </w:r>
            <w:r>
              <w:rPr>
                <w:rFonts w:ascii="Times New Roman" w:cs="Times New Roman" w:eastAsia="Times New Roman" w:hAnsi="Times New Roman"/>
                <w:sz w:val="25"/>
                <w:szCs w:val="25"/>
                <w:color w:val="auto"/>
                <w:vertAlign w:val="superscript"/>
              </w:rPr>
              <w:t>(1)(2)(3)</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77</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of Cedar Point Capital, Inc.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Cristina Pinho</w:t>
            </w:r>
            <w:r>
              <w:rPr>
                <w:rFonts w:ascii="Times New Roman" w:cs="Times New Roman" w:eastAsia="Times New Roman" w:hAnsi="Times New Roman"/>
                <w:sz w:val="25"/>
                <w:szCs w:val="25"/>
                <w:color w:val="auto"/>
                <w:vertAlign w:val="superscript"/>
              </w:rPr>
              <w:t>(2)</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67</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 of the Board of Instituto Luísa Pinho Sartori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Konstantin von Falkenhausen</w:t>
            </w:r>
            <w:r>
              <w:rPr>
                <w:rFonts w:ascii="Times New Roman" w:cs="Times New Roman" w:eastAsia="Times New Roman" w:hAnsi="Times New Roman"/>
                <w:sz w:val="25"/>
                <w:szCs w:val="25"/>
                <w:color w:val="auto"/>
                <w:vertAlign w:val="superscript"/>
              </w:rPr>
              <w:t>(1)(2)</w:t>
            </w:r>
          </w:p>
        </w:tc>
        <w:tc>
          <w:tcPr>
            <w:tcW w:w="11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58</w:t>
            </w:r>
          </w:p>
        </w:tc>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 of B Capital Partners AG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16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ind w:left="620" w:hanging="612"/>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9"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Current Directors and Board Nominees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paragraphs provide information about each current director and nominee for director,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 We believe that all of our directors and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the Board of Directors and its committees; a fit of skills and personality with those of our other directors that helps build a board that is effective, collegial and responsive to the needs of NTIC; strategic thinking and a willingness to share ideas; a diversity of experiences, expertise and background; and the ability to represent the interests of all of our stockholders. The information presented below regarding each director and nominee also sets forth specific experience, qualifications, attributes and skills that led the Board of Directors to the conclusion that such individual should serve as a director in light of our business and structure.</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Nancy E. Calderon </w:t>
      </w:r>
      <w:r>
        <w:rPr>
          <w:rFonts w:ascii="Times New Roman" w:cs="Times New Roman" w:eastAsia="Times New Roman" w:hAnsi="Times New Roman"/>
          <w:sz w:val="18"/>
          <w:szCs w:val="18"/>
          <w:color w:val="auto"/>
        </w:rPr>
        <w:t>has been a director of NTIC since October 2019. Ms. Calderon is a CPA and retired from KPMG LLP in September 2019 after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distinguished 33-year career. Until her retirement, Nancy served as Global Lead Partner for a Fortune 40 Technology company, managing a global team of over 500 professionals in more than 50 countries, a position she held since July 2012, senior partner of KPMG’s Board Leadership Center from its inception in 2015, and as a director of KPMG’s Global Delivery Center in India and its related holding companies since September 2011. Previously, she was KPMG’s Americas Chief Administrative Officer and U.S. National Partner in Charge, Operations from July 2008 to June 2012. Ms. Calderon has sat on a number of KPMG committees, including the Americas Region Management Committee, Enterprise Risk Management, Privacy, Pension Steering and Investment, Social Media and Knowledge Management. She currently serves on the board of directors of Belden Inc. We believe Ms. Calderon’s qualifications to sit on the Board of Directors include her extensive financial accounting experience with KPMG and her current and prior experience on boards of directors, including, in particular, her experience serving on the audit committees of Arcimoto, Inc.; Belden, Inc.; KPMG’s Global Delivery Center; Women Corporate Directors Foundation and the New York YMCA. Ms. Calderon received a Bachelor of Science from UC Berkeley’s Haas Business School and a Master of Science from Golden Gate University.</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Sarah E. Kemp </w:t>
      </w:r>
      <w:r>
        <w:rPr>
          <w:rFonts w:ascii="Times New Roman" w:cs="Times New Roman" w:eastAsia="Times New Roman" w:hAnsi="Times New Roman"/>
          <w:sz w:val="18"/>
          <w:szCs w:val="18"/>
          <w:color w:val="auto"/>
        </w:rPr>
        <w:t>has been a director of NTIC since October 2019. Ms. Kemp is currently the Vice President of International Government Affairs at Intel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 design and developer of central processing units and related solutions for third party customers, a role she assumed in February 2022. Previously, she was the Associate Vice President at Organon, a global biopharmaceutical company, where she led Global Women’s Health Policy and ESG, from April 2021 to February 2022. Before that, Ms. Kemp held various leadership positions at Merck, a pharmaceutical company, including leading Policy Communication and Population Health for emerging markets from November 2020 to April 2021 and serving as Executive Director for Public Policy and Commercial Strategies in Asia Pacific from July 2019 to October 2020. Ms. Kemp has significant government experience, having been the Deputy Under Secretary for the International Trade Administration at the U.S. Department of Commerce from February 2017 to July 2019 where she managed a substantial budget and workforce. She also served as the Minister Counselor for Commercial Affairs at the U.S. Embassy in Beijing, advising on trade and investment strategies in China. Her earlier career includes roles as a Foreign Commercial Service Officer with postings in China, Vietnam, Hong Kong and Bangkok, and she began her career as a Presidential Management Fellow. Ms. Kemp has been active on various boards, including Concordia International School in Hanoi and Women Corporate Directors in Vietnam and Beijing. She is an advisor to Indiana University’s Manufacturing Policy Initiative and a board member of the Center for International Private Enterprise. We believe Ms. Kemp’s qualifications to sit on the Board of Directors include her deep expertise in international commerce, especially in the Asia Pacific and Greater China regions, coupled with her experience in international and public affairs. She holds a Master of Business Administration from the Chinese University of Hong Kong, a Master of Public Administration from Columbia University, and a Bachelor of Arts degree in Physiological-Anthropology from Hamilton College.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4" w:name="page25"/>
    <w:bookmarkEnd w:id="24"/>
    <w:p>
      <w:pPr>
        <w:jc w:val="both"/>
        <w:ind w:right="20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Sunggyu Lee, Ph.D. </w:t>
      </w:r>
      <w:r>
        <w:rPr>
          <w:rFonts w:ascii="Times New Roman" w:cs="Times New Roman" w:eastAsia="Times New Roman" w:hAnsi="Times New Roman"/>
          <w:sz w:val="17"/>
          <w:szCs w:val="17"/>
          <w:color w:val="auto"/>
        </w:rPr>
        <w:t>has been a director of NTIC since January 2004. Dr. Lee is Chief Technologist, Chemtech Innovators LLC, Akron, Ohio. Previously,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held positions of Russ Ohio Research Scholar and Professor of Chemical and Biomolecular Engineering, Ohio University, Athens, Ohio from 2010 to 2020, Professor of Chemical and Biological Engineering, Missouri University of Science and Technology, Rolla, Missouri from 2005 to 2010, C.W.</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LaPierre Professor and Chairman of Chemical Engineering at University of Missouri-Columbia from 1997 to 2005, and Robert Iredell Professor and Head of Chemical Engineering Department at the University of Akron, Akron, Ohio from 1988 to 1996. He has authored 12 books and over 550 archival publications and received 35 U.S. patents in a variety of chemical and polymer processes and products. He is currently serving as Editor of Encyclopedia of Chemical Processing, Taylor &amp; Francis, New York, New York and also as Book Series Editor of Green Chemistry and Chemical Engineering, CRC Press, Boca Raton, Florida. Throughout his career, he has served as consultant and technical advisor to a number of national and international companies in the fields of polymers, petrochemicals and energy. He received his Ph.D. from Case Western Reserve University, Cleveland, Ohio in 1980. We believe Dr. Lee’s qualifications to sit on the Board of Directors include his significant technical and industrial expertise with chemical and polymer processes and products. Such expertise is particularly helpful with respect to assessing and operating NTIC’s ZERUST® industrial business.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G. Patrick Lynch</w:t>
      </w:r>
      <w:r>
        <w:rPr>
          <w:rFonts w:ascii="Times New Roman" w:cs="Times New Roman" w:eastAsia="Times New Roman" w:hAnsi="Times New Roman"/>
          <w:sz w:val="18"/>
          <w:szCs w:val="18"/>
          <w:color w:val="auto"/>
        </w:rPr>
        <w:t>, an employee of NTIC since 1995, has been President since July 2005 and Chief Executive Officer since January 2006 and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NTIC since February 2004.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which is a significant stockholder of NTIC. Prior to joining NTIC, Mr. Lynch held positions in sales management for Fuji Electric Co., Ltd. in Tokyo, Japan, and programming project management for BMW AG in Munich, Germany. Mr. Lynch received a Master of Business Administration degree from the University of Michigan Ross School of Business. We believe Mr. Lynch’s qualifications to sit on the Board of Directors include his depth of knowledge of NTIC and its day-to-day operations in light of his position as Chief Executive Officer of NTIC, as well as his affiliation with a significant stockholder of NTIC, which the Board of Directors believes generally helps align management’s interests with those of our stockholders.</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Ramani Narayan, Ph.D. </w:t>
      </w:r>
      <w:r>
        <w:rPr>
          <w:rFonts w:ascii="Times New Roman" w:cs="Times New Roman" w:eastAsia="Times New Roman" w:hAnsi="Times New Roman"/>
          <w:sz w:val="18"/>
          <w:szCs w:val="18"/>
          <w:color w:val="auto"/>
        </w:rPr>
        <w:t>has been a director of NTIC since November 2004. He is a Distinguished Professor at Michigan State University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Chemical Engineering &amp; Materials Science, where he has 200+ refereed publications in leading journals to his credit, 19 patents, edited three books and one expert dossier in the area of bio-based polymeric materials. His research encompasses design and engineering of sustainable, biobased products, biodegradable plastics and polymers, biofiber reinforced composites, reactive extrusion polymerization and processing, studies in plastic end-of-life options like biodegradation and composting. He conducts carbon footprint calculations for plastics and products. He also performs LCA (Life Cycle Assessment) for reporting a product’s environmental footprint. He serves as Scientific Chair of the Biodegradable Products Institute (BPI), North America. He served on the Technical Advisory Board of Tate &amp; Lyle. He served on the Board of Directors of ASTM International, an international standard setting organization and was the founding Chair of the committee on Environmentally Degradable Plastics and Biobased Products (D20.96) and the Plastics Terminology Committee (D20.92). Dr. Narayan is also the technical expert for the United States on ISO (International Standards Organization) TC 61 on Plastics—specifically for Terminology, Biobased and Biodegradable Plastics. He has won numerous awards, including the Named MSU University Distinguished Professor in 2007; the Governors University Award for commercialization excellence; Michigan State University Distinguished Faculty Award, 2006, 2005 Withrow Distinguished Scholar award, Fulbright Distinguished Lectureship Chair in Science &amp; Technology Management &amp; Commercialization (University of Lisbon; Portugal); First recipient of the William N. Findley Award, The James Hammer Memorial Lifetime Achievement Award, and Research and Commercialization Award sponsored by ICI Americas, Inc. &amp; the National Corn Growers Association. We believe Dr. Narayan’s qualifications to sit on the Board of Directors include his significant technical expertise in the bioplastics area which has been helpful to NTIC’s management in assessing and operating NTIC’s Natur-Tec® bioplastics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Richard J. Nigon </w:t>
      </w:r>
      <w:r>
        <w:rPr>
          <w:rFonts w:ascii="Times New Roman" w:cs="Times New Roman" w:eastAsia="Times New Roman" w:hAnsi="Times New Roman"/>
          <w:sz w:val="18"/>
          <w:szCs w:val="18"/>
          <w:color w:val="auto"/>
        </w:rPr>
        <w:t>has been a director of NTIC since February 2010 and non-executive Chairman of the Board since November 2012. Mr. Nigon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of Cedar Point Capital, Inc., a private company that raises capital for early stage companies. From February 2001 until May 2007, Mr. Nigon was a Director of Equity Corporate Finance for Miller Johnson Steichen Kinnard (MJSK), a privately held investment firm. In December 2006, MJSK was acquired by Stifel Nicolaus, and Mr. Nigon was a Managing Director of Private Placements at Stifel Nicolaus. From February 2000 to February 2001, Mr. Nigon served as the Chief Financial Officer of Dantis, Inc., a web hosting company. Prior to joining Dantis, Mr. Nigon was employed by Ernst &amp; Young, LLP from 1970 to 2000, where he served as a partner from 1981 to 2000. While at Ernst &amp; Young, Mr. Nigon served as the Director of Ernst &amp; Young’s Twin Cities Entrepreneurial Services Group and was the coordinating partner on several publicly-traded companies in the consumer retailing and manufacturing sectors. In addition to NTIC, Mr. Nigon also serves on the board of directors of Celcuity Inc. and as chairperson of its audit committee and serves on the board of directors of a number of privately-held companies. Mr. Nigon previously served on the board of directors of Tactile Systems Technology, Inc., Virtual Radiologic Corporation and Vascular Solutions, Inc. until its acquisition by Teleflex Incorporated in February 2017. Through his 30 years of service at Ernst &amp; Young, LLP, Mr. Nigon brings to NTIC’s Board of Directors, and in particular the Audit Committee, extensive public accounting and auditing experience. The Board believes Mr. Nigon’s strong background in financial controls and reporting, financial management, financial analysis and SEC reporting requirements is critical to the Board’s oversight responsibilities. In addition, his strategic planning expertise and other experiences gained through his management and leadership roles at private investment firms that have invested in early stage companies, is helpful to the Board in assessing and operating NTIC’s newer businesses.</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Cristina Pinho </w:t>
      </w:r>
      <w:r>
        <w:rPr>
          <w:rFonts w:ascii="Times New Roman" w:cs="Times New Roman" w:eastAsia="Times New Roman" w:hAnsi="Times New Roman"/>
          <w:sz w:val="18"/>
          <w:szCs w:val="18"/>
          <w:color w:val="auto"/>
        </w:rPr>
        <w:t>has been a director of NTIC since January 2023. Ms. Pinho is Chair of the Board of Instituto Luísa Pinho Sartori, a nonprofit organization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 whose mission is to support and incentivize conservationists and biologists to work on environmental protection, a position she has held since April 2015. Ms. Pinho served as an independent board director of Ocyan, a private company, from August 2020 to April 2024. Ms. Pinho is a member of a sounding board of Shell Brazil, a position she has held since June 2023. From November 2019 to January 2022, she served as Corporate Executive Director at Brazilian Petroleum and Gas Institute, a nonprofit organization in Brazil, formed by major oil and gas producers in Brazil and petroleum products service companies. From January 2019 to November 2019, Ms. Pinho served as Undersecretary of Energy, Petroleum and Gas at Rio de Janeiro State. From 2012 to 2015, she served as Executive Manager of E&amp;P Services and Logistics for Petrobras. We believe Ms. Pinho’s qualifications to sit on the Board of Directors include her extensive experience in the oil and gas industry in Brazil and her extensive experience in ESG matters. Ms. Pinho received an ESG Competent Boards Certificate in 2021 and is a graduate of the Columbia Senior Executive Program at the Columbia Business School and also received a Digital Strategy for Business degree from the Columbia Business School in 2018. She has also received an MBA CoppeAd UFRJ; Senior Strategic Management, MBA Fundação Getúlio Vargas, Business and Strategic Management and a Mechanical Engineering degree from the Universidade Federal do Rio de Janeiro.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Konstantin von Falkenhausen </w:t>
      </w:r>
      <w:r>
        <w:rPr>
          <w:rFonts w:ascii="Times New Roman" w:cs="Times New Roman" w:eastAsia="Times New Roman" w:hAnsi="Times New Roman"/>
          <w:sz w:val="18"/>
          <w:szCs w:val="18"/>
          <w:color w:val="auto"/>
        </w:rPr>
        <w:t>has been a director of NTIC since November 2012. Mr. von Falkenhausen is currently a Partner of B Capital Partners AG,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investment advisory boutique focused on infrastructure, public private partnerships and clean energy. In this capacity, since April 2018,</w:t>
      </w:r>
    </w:p>
    <w:p>
      <w:pPr>
        <w:ind w:right="20"/>
        <w:spacing w:after="0" w:line="251" w:lineRule="auto"/>
        <w:rPr>
          <w:sz w:val="20"/>
          <w:szCs w:val="20"/>
          <w:color w:val="auto"/>
        </w:rPr>
      </w:pPr>
      <w:r>
        <w:rPr>
          <w:rFonts w:ascii="Times New Roman" w:cs="Times New Roman" w:eastAsia="Times New Roman" w:hAnsi="Times New Roman"/>
          <w:sz w:val="18"/>
          <w:szCs w:val="18"/>
          <w:color w:val="auto"/>
        </w:rPr>
        <w:t>Mr. von Falkenhausen has been a Director of the general partner of the B Capital Energy Transition Infrastructure Fund SICAV-SIF, an investment fund registered with the Luxembourg financial authorities CSSF. From February 2004 to March 2008, Mr. von Falkenhausen served as a Partner of capiton AG, a private equity firm located in Berlin, Germany. From March 2003 to February 2004, he served as interim Chief Financial Officer of Neon Products GmbH, a privately held neon lighting company. From May 1999 to February 2003, Mr. von Falkenhausen served as an investment manager of West Private Equity Ltd. and an investment director of its German affiliate West Private Capital GmbH. Prior to May 1999, Mr. von Falkenhausen served in several positions with BankBoston Robertson Stephens International Ltd., an investment banking firm. Mr. von Falkenhausen is a citizen of Germany. He has a Master’s degree in economics (lic. oec) from the University of Fribourg (Switzerland) and a Master of Business Administration degree from the University of Chicago. We believe Mr. von Falkenhausen’s qualifications to sit on the Board of Directors include his experience with several private investment and equity firms that have invested in early stage companies, which the Board believes is helpful in assessing and operating NTIC’s newer businesses, and his financial expertise, which the Board believes is helpful in analyzing NTIC’s financial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all of the eight nominees named above.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360" w:type="dxa"/>
            <w:vAlign w:val="bottom"/>
            <w:tcBorders>
              <w:top w:val="single" w:sz="8" w:color="auto"/>
              <w:left w:val="single" w:sz="8" w:color="auto"/>
            </w:tcBorders>
            <w:vMerge w:val="restart"/>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Each Nominee for Director</w:t>
            </w:r>
          </w:p>
        </w:tc>
        <w:tc>
          <w:tcPr>
            <w:tcW w:w="1880" w:type="dxa"/>
            <w:vAlign w:val="bottom"/>
            <w:tcBorders>
              <w:top w:val="single" w:sz="8" w:color="auto"/>
              <w:right w:val="single" w:sz="8" w:color="auto"/>
            </w:tcBorders>
          </w:tcPr>
          <w:p>
            <w:pPr>
              <w:ind w:left="1220"/>
              <w:spacing w:after="0" w:line="296" w:lineRule="exact"/>
              <w:rPr>
                <w:sz w:val="20"/>
                <w:szCs w:val="20"/>
                <w:color w:val="auto"/>
              </w:rPr>
            </w:pPr>
            <w:r>
              <w:rPr>
                <w:rFonts w:ascii="MS PGothic" w:cs="MS PGothic" w:eastAsia="MS PGothic" w:hAnsi="MS PGothic"/>
                <w:sz w:val="39"/>
                <w:szCs w:val="39"/>
                <w:color w:val="auto"/>
              </w:rPr>
              <w:t>☑</w:t>
            </w:r>
          </w:p>
        </w:tc>
        <w:tc>
          <w:tcPr>
            <w:tcW w:w="0" w:type="dxa"/>
            <w:vAlign w:val="bottom"/>
          </w:tcPr>
          <w:p>
            <w:pPr>
              <w:spacing w:after="0"/>
              <w:rPr>
                <w:sz w:val="1"/>
                <w:szCs w:val="1"/>
                <w:color w:val="auto"/>
              </w:rPr>
            </w:pPr>
          </w:p>
        </w:tc>
      </w:tr>
      <w:tr>
        <w:trPr>
          <w:trHeight w:val="54"/>
        </w:trPr>
        <w:tc>
          <w:tcPr>
            <w:tcW w:w="9360" w:type="dxa"/>
            <w:vAlign w:val="bottom"/>
            <w:tcBorders>
              <w:left w:val="single" w:sz="8" w:color="auto"/>
            </w:tcBorders>
            <w:vMerge w:val="continue"/>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9360" w:type="dxa"/>
            <w:vAlign w:val="bottom"/>
            <w:tcBorders>
              <w:left w:val="single" w:sz="8" w:color="auto"/>
              <w:bottom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2"/>
        </w:trPr>
        <w:tc>
          <w:tcPr>
            <w:tcW w:w="936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24</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8" w:right="33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TWO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VOTE ON EXECUTIVE COMPENSATION</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Board of Directors is providing stockholders with an advisory vote on executive compensation pursuant to the Dodd-Frank Wall Street Consumer Protection Act (the “Dodd-Frank Act”) and Section 14A of the Securities Exchange Act of 1934, as amended (the “Exchange Act”). This advisory vote, commonly known as a “say-on-pay” vote, is a non-binding vote on the compensation paid to our named executive officers as set forth in the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section of this proxy statement beginning on page 51. At the 2025 Annual Meeting of Stockholders held on January 17,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93% of the votes cast by our stockholders were in favor of our say-on-pay vote. The Compensation Committee generally believes that such results affirmed stockholder support of our approach to executive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in Favor of Our Say-on-Pay Vote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is generally designed to attract, retain, motivate and reward highly qualified and talented executive officers. The underlying core principles of our executive compensation program are:</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our executives with those of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with our business plans and strategic goals;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amount of compensation to both company and individual performance goals;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competitive compensation opportunities that attract and retain executives.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which begins on page 51, describes our executive compensation program and the executive compensation decisions made by the Compensation Committee and Board of Directors for fiscal 2025 in more detail. Important considerations include:</w:t>
      </w:r>
    </w:p>
    <w:p>
      <w:pPr>
        <w:spacing w:after="0" w:line="160" w:lineRule="exact"/>
        <w:rPr>
          <w:sz w:val="20"/>
          <w:szCs w:val="20"/>
          <w:color w:val="auto"/>
        </w:rPr>
      </w:pPr>
    </w:p>
    <w:p>
      <w:pPr>
        <w:jc w:val="both"/>
        <w:ind w:left="980" w:right="260" w:hanging="324"/>
        <w:spacing w:after="0" w:line="312"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portion of the compensation paid or awarded to our named executive officers in fiscal 2025 was “performance-based” or “at-risk” compensation that is tied directly to the achievement of financial and other performance goals or long-term stock price performance.</w:t>
      </w:r>
    </w:p>
    <w:p>
      <w:pPr>
        <w:spacing w:after="0" w:line="139"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granted to our named executive officers is in the form of stock options and aligns the long-term interests of our executives with the long-term interests of our stockholders. In response to a concern raised by one of our stockholders, stock options granted to our executives now vest annually over a three-year period as opposed to a one-year period.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receive only modest perquisites and have modest severance and change-in-control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robust, Nasdaq-compliant clawback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any tax “gross-up” payments.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8" w:name="page29"/>
    <w:bookmarkEnd w:id="28"/>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that our executive compensation program is competitive, focused on pay for performance, and strongly aligned with the long-term interests of our stockholders. The Compensation Committee believes that executive compensation for fiscal 2025 was reasonable, appropriate, and justified by the performance of the Company and the result of a carefully considered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our stockholders vote in favor of the say-on-pay vote as set forth in the following resolution:</w:t>
      </w:r>
    </w:p>
    <w:p>
      <w:pPr>
        <w:spacing w:after="0" w:line="22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our stockholders approve, on an advisory basis, the compensation paid to our named executive officers, as disclosed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Stockholders are not ultimately voting to approve or disapprove the recommendation of the Board of Directors. As this is an advisory vote, the outcome of the vote is not binding on us with respect to future executive compensation decisions, including those relating to our named executive officers, or otherwise. The Compensation Committee and Board of Directors expect to take into account the outcome of this advisory vote when considering future executive compensation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Say-on-Pay Vote</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expect to conduct a say-on-pay vote on an annual basis, with the next say-on-pay vote to occur at our 2027 Annual Meeting of Stockholders. We are also conducting a frequency of say-on-pay vote this year. See “Proposal Three—Advisory Vote on the Frequency of Future Advisory Votes on Executive Compensation.” Since a frequency of say-on-pay vote must be conducted every six years, we expect to conduct the next frequency of say-on-pay vote at our 2032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on an advisory basis, of the compensation paid to our named executive officers, as disclosed in this proxy statement.</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100" w:type="dxa"/>
            <w:vAlign w:val="bottom"/>
            <w:tcBorders>
              <w:top w:val="single" w:sz="8" w:color="auto"/>
              <w:left w:val="single" w:sz="8" w:color="auto"/>
            </w:tcBorders>
            <w:vMerge w:val="restart"/>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Two</w:t>
            </w:r>
          </w:p>
        </w:tc>
        <w:tc>
          <w:tcPr>
            <w:tcW w:w="2140" w:type="dxa"/>
            <w:vAlign w:val="bottom"/>
            <w:tcBorders>
              <w:top w:val="single" w:sz="8" w:color="auto"/>
              <w:right w:val="single" w:sz="8" w:color="auto"/>
            </w:tcBorders>
          </w:tcPr>
          <w:p>
            <w:pPr>
              <w:ind w:left="1480"/>
              <w:spacing w:after="0" w:line="296" w:lineRule="exact"/>
              <w:rPr>
                <w:sz w:val="20"/>
                <w:szCs w:val="20"/>
                <w:color w:val="auto"/>
              </w:rPr>
            </w:pPr>
            <w:r>
              <w:rPr>
                <w:rFonts w:ascii="MS PGothic" w:cs="MS PGothic" w:eastAsia="MS PGothic" w:hAnsi="MS PGothic"/>
                <w:sz w:val="39"/>
                <w:szCs w:val="39"/>
                <w:color w:val="auto"/>
              </w:rPr>
              <w:t>☑</w:t>
            </w:r>
          </w:p>
        </w:tc>
        <w:tc>
          <w:tcPr>
            <w:tcW w:w="0" w:type="dxa"/>
            <w:vAlign w:val="bottom"/>
          </w:tcPr>
          <w:p>
            <w:pPr>
              <w:spacing w:after="0"/>
              <w:rPr>
                <w:sz w:val="1"/>
                <w:szCs w:val="1"/>
                <w:color w:val="auto"/>
              </w:rPr>
            </w:pPr>
          </w:p>
        </w:tc>
      </w:tr>
      <w:tr>
        <w:trPr>
          <w:trHeight w:val="54"/>
        </w:trPr>
        <w:tc>
          <w:tcPr>
            <w:tcW w:w="9100" w:type="dxa"/>
            <w:vAlign w:val="bottom"/>
            <w:tcBorders>
              <w:left w:val="single" w:sz="8" w:color="auto"/>
            </w:tcBorders>
            <w:vMerge w:val="continue"/>
          </w:tcPr>
          <w:p>
            <w:pPr>
              <w:spacing w:after="0"/>
              <w:rPr>
                <w:sz w:val="4"/>
                <w:szCs w:val="4"/>
                <w:color w:val="auto"/>
              </w:rPr>
            </w:pPr>
          </w:p>
        </w:tc>
        <w:tc>
          <w:tcPr>
            <w:tcW w:w="2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9100" w:type="dxa"/>
            <w:vAlign w:val="bottom"/>
            <w:tcBorders>
              <w:left w:val="single" w:sz="8" w:color="auto"/>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2"/>
        </w:trPr>
        <w:tc>
          <w:tcPr>
            <w:tcW w:w="9100" w:type="dxa"/>
            <w:vAlign w:val="bottom"/>
          </w:tcPr>
          <w:p>
            <w:pPr>
              <w:jc w:val="right"/>
              <w:ind w:right="3290"/>
              <w:spacing w:after="0"/>
              <w:rPr>
                <w:sz w:val="20"/>
                <w:szCs w:val="20"/>
                <w:color w:val="auto"/>
              </w:rPr>
            </w:pPr>
            <w:r>
              <w:rPr>
                <w:rFonts w:ascii="Times New Roman" w:cs="Times New Roman" w:eastAsia="Times New Roman" w:hAnsi="Times New Roman"/>
                <w:sz w:val="18"/>
                <w:szCs w:val="18"/>
                <w:color w:val="auto"/>
              </w:rPr>
              <w:t>26</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9" w:name="page30"/>
    <w:bookmarkEnd w:id="29"/>
    <w:p>
      <w:pPr>
        <w:ind w:left="160"/>
        <w:spacing w:after="0"/>
        <w:rPr>
          <w:sz w:val="20"/>
          <w:szCs w:val="20"/>
          <w:color w:val="auto"/>
        </w:rPr>
      </w:pPr>
      <w:r>
        <w:rPr>
          <w:rFonts w:ascii="Times New Roman" w:cs="Times New Roman" w:eastAsia="Times New Roman" w:hAnsi="Times New Roman"/>
          <w:sz w:val="18"/>
          <w:szCs w:val="18"/>
          <w:b w:val="1"/>
          <w:bCs w:val="1"/>
          <w:color w:val="auto"/>
        </w:rPr>
        <w:t>PROPOSAL THREE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ADVISORY VOTE ON THE FREQUENCY OF FUTURE ADVISORY VOTES ON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of Directors is providing our stockholders with an advisory vote on the frequency of future advisory votes on executive compensation, or say-on-pay votes, such as that provided for in Proposal Two—Advisory Vote on Executive Compensation. This non-binding advisory vote is required to be conducted every six years under Section 14A of the Exchange Act and pursuant to the Dodd-Frank Act. Our last frequency of say-on-pay vote was held at our 2020 Annual Meeting of Stockholders, at which stockholders voted in favor of an annual say-on-pay vote. The next required advisory vote on the frequency of future stockholder advisory votes on executive compensation will occur no later than the 2032 Annual Meeting of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indicate whether they prefer that we hold a say-on-pay vote every one year, two years, or three years, or they may abstain from this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an Annual Say-on-Pay Vote Recommendation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careful consideration, the Board of Directors, upon recommendation of the Compensation Committee, has determined that holding a say-on-pay vote every year remains the best approach for NTIC and our stockholders, and recommends that stockholders vote for future advisory votes on executive compensation to occur every one year. In making this recommendation, the Board continues to believe that an annual say-on-pay vote is the most appropriate policy for our stockholders and NTIC at this time. Although we recognize the potential benefits of having less frequent say-on-pay votes, we understand that an annual say-on-pay vote is currently the standard desired by many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while our executive compensation program is designed to promote a long-term connection between pay and performance, the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recognizes that executive compensation decisions are made annually and that an annual say-on-pay vote:</w:t>
      </w:r>
    </w:p>
    <w:p>
      <w:pPr>
        <w:spacing w:after="0" w:line="20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with our annual review of core elements of our executive compensation program;</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stockholders to provide timely, direct input on our executive compensation philosophy, policies, and practices as disclosed in our proxy statement each year;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consistent with our practice of seeking input and engaging in dialogue with our stockholders on corporate governance matters and our executive compensation philosophy, policies and practices.</w:t>
      </w:r>
    </w:p>
    <w:p>
      <w:pPr>
        <w:spacing w:after="0" w:line="162"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Stockholders are not voting to approve or disapprove the Board of Directors’ recommendation. Instead, stockholders may indicate their preference regarding the frequency of future say-on-pay votes by selecting every one year, two years or three years. Stockholders that do not have a preference regarding the frequency of future say-on-pay votes may abstain from voting on the proposal.</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this is an advisory vote, the outcome of the vote is not binding on us, and the Compensation Committee and the Board of Directors may decide that it is in the best interests of NTIC and our stockholders to hold a say-on-pay vote more or less frequently than the preference receiving the highest number of votes of our stockholders. However, the Compensation Committee and the Board of Directors value the opinions expressed by our stockholders in their vote on this proposal and expect to take into account the outcome of this vote when considering the frequency of future advisory votes on executive compensation.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that our stockholders vote for a frequency of every </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on an advisory basis, for future advisory votes on executive compensation, or say-on-pay votes.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380" w:type="dxa"/>
            <w:vAlign w:val="bottom"/>
            <w:tcBorders>
              <w:top w:val="single" w:sz="8" w:color="auto"/>
              <w:left w:val="single" w:sz="8" w:color="auto"/>
            </w:tcBorders>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of ONE YEAR for Proposal Three</w:t>
            </w:r>
          </w:p>
        </w:tc>
        <w:tc>
          <w:tcPr>
            <w:tcW w:w="1860" w:type="dxa"/>
            <w:vAlign w:val="bottom"/>
            <w:tcBorders>
              <w:top w:val="single" w:sz="8" w:color="auto"/>
              <w:right w:val="single" w:sz="8" w:color="auto"/>
            </w:tcBorders>
          </w:tcPr>
          <w:p>
            <w:pPr>
              <w:ind w:left="1200"/>
              <w:spacing w:after="0" w:line="296" w:lineRule="exact"/>
              <w:rPr>
                <w:sz w:val="20"/>
                <w:szCs w:val="20"/>
                <w:color w:val="auto"/>
              </w:rPr>
            </w:pPr>
            <w:r>
              <w:rPr>
                <w:rFonts w:ascii="MS PGothic" w:cs="MS PGothic" w:eastAsia="MS PGothic" w:hAnsi="MS PGothic"/>
                <w:sz w:val="39"/>
                <w:szCs w:val="39"/>
                <w:color w:val="auto"/>
              </w:rPr>
              <w:t>☑</w:t>
            </w:r>
          </w:p>
        </w:tc>
        <w:tc>
          <w:tcPr>
            <w:tcW w:w="0" w:type="dxa"/>
            <w:vAlign w:val="bottom"/>
          </w:tcPr>
          <w:p>
            <w:pPr>
              <w:spacing w:after="0"/>
              <w:rPr>
                <w:sz w:val="1"/>
                <w:szCs w:val="1"/>
                <w:color w:val="auto"/>
              </w:rPr>
            </w:pPr>
          </w:p>
        </w:tc>
      </w:tr>
      <w:tr>
        <w:trPr>
          <w:trHeight w:val="54"/>
        </w:trPr>
        <w:tc>
          <w:tcPr>
            <w:tcW w:w="9380" w:type="dxa"/>
            <w:vAlign w:val="bottom"/>
            <w:tcBorders>
              <w:left w:val="single" w:sz="8" w:color="auto"/>
            </w:tcBorders>
            <w:vMerge w:val="continue"/>
          </w:tcPr>
          <w:p>
            <w:pPr>
              <w:spacing w:after="0"/>
              <w:rPr>
                <w:sz w:val="4"/>
                <w:szCs w:val="4"/>
                <w:color w:val="auto"/>
              </w:rPr>
            </w:pPr>
          </w:p>
        </w:tc>
        <w:tc>
          <w:tcPr>
            <w:tcW w:w="18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9380" w:type="dxa"/>
            <w:vAlign w:val="bottom"/>
            <w:tcBorders>
              <w:left w:val="single" w:sz="8" w:color="auto"/>
              <w:bottom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left="3120"/>
        <w:spacing w:after="0"/>
        <w:rPr>
          <w:sz w:val="20"/>
          <w:szCs w:val="20"/>
          <w:color w:val="auto"/>
        </w:rPr>
      </w:pPr>
      <w:r>
        <w:rPr>
          <w:rFonts w:ascii="Times New Roman" w:cs="Times New Roman" w:eastAsia="Times New Roman" w:hAnsi="Times New Roman"/>
          <w:sz w:val="18"/>
          <w:szCs w:val="18"/>
          <w:b w:val="1"/>
          <w:bCs w:val="1"/>
          <w:color w:val="auto"/>
        </w:rPr>
        <w:t>PROPOSAL FOUR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appoints our independent registered public accounting firm. In this regard, the Audit Committee evaluates the qualifications, performance and independence of our independent registered public accounting firm and determines whether to re-engage our current independent registered public accounting firm. As part of its evaluation, the Audit Committee considers, among other factors, the quality and efficiency of the services provided by the firm, including the performance, technical expertise, and industry knowledge of the lead audit partner and the audit team assigned to our account; the overall strength and reputation of the firm; its global capabilities relative to our business; and its knowledge of our operations. Additionally, the Audit Committee considers the impact of a change of independent registered public accounting firm. Upon consideration of these and other factors, the Audit Committee believes the appointment of Baker Tilly US, LLP (“Baker Tilly”) as our independent registered public accounting firm for the fiscal year ending August 31, 2026, is in the best interests of NTIC and its stockholders. Baker Tilly has served as our independent registered public accounting firm since 2004.</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it is not required to do so, the Board of Directors is asking our stockholders to ratify the Audit Committee’s appointment of Baker Tilly as a matter of good corporate governance. If our stockholders do not ratify the appointment of Baker Tilly, another independent registered public accounting firm will be considered by the Audit Committee. Even if the appointment is ratified by our stockholders, the Audit Committee in its discretion may change the appointment at any time during the year, if it determines that such a change would be in the best interests of NTIC and our stockholders.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Representatives of Baker Tilly will be present at the Annual Meeting to respond to appropriate questions. They also will have the opportunity to make a statement if they wish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Audit-Related, Tax and Other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fees billed to us by Baker Tilly for the fiscal years ended August 31, 2025, and August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3040" w:type="dxa"/>
            <w:vAlign w:val="bottom"/>
            <w:gridSpan w:val="4"/>
            <w:shd w:val="clear" w:color="auto" w:fill="DDDDDD"/>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Aggregate Amount Billed by</w:t>
            </w:r>
          </w:p>
        </w:tc>
      </w:tr>
      <w:tr>
        <w:trPr>
          <w:trHeight w:val="238"/>
        </w:trPr>
        <w:tc>
          <w:tcPr>
            <w:tcW w:w="7880" w:type="dxa"/>
            <w:vAlign w:val="bottom"/>
            <w:tcBorders>
              <w:bottom w:val="single" w:sz="8" w:color="DDDDDD"/>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3040" w:type="dxa"/>
            <w:vAlign w:val="bottom"/>
            <w:tcBorders>
              <w:bottom w:val="single" w:sz="8" w:color="auto"/>
            </w:tcBorders>
            <w:gridSpan w:val="4"/>
            <w:shd w:val="clear" w:color="auto" w:fill="DDDDDD"/>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Baker Tilly ($)</w:t>
            </w:r>
          </w:p>
        </w:tc>
      </w:tr>
      <w:tr>
        <w:trPr>
          <w:trHeight w:val="210"/>
        </w:trPr>
        <w:tc>
          <w:tcPr>
            <w:tcW w:w="788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1380" w:type="dxa"/>
            <w:vAlign w:val="bottom"/>
            <w:tcBorders>
              <w:bottom w:val="single" w:sz="8" w:color="auto"/>
            </w:tcBorders>
            <w:shd w:val="clear" w:color="auto" w:fill="DDDDDD"/>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1360" w:type="dxa"/>
            <w:vAlign w:val="bottom"/>
            <w:tcBorders>
              <w:bottom w:val="single" w:sz="8" w:color="auto"/>
            </w:tcBorders>
            <w:shd w:val="clear" w:color="auto" w:fill="DDDDDD"/>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2024</w:t>
            </w:r>
          </w:p>
        </w:tc>
      </w:tr>
      <w:tr>
        <w:trPr>
          <w:trHeight w:val="191"/>
        </w:trPr>
        <w:tc>
          <w:tcPr>
            <w:tcW w:w="788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2"/>
                <w:szCs w:val="22"/>
                <w:color w:val="auto"/>
                <w:vertAlign w:val="superscript"/>
              </w:rPr>
              <w:t>(1)</w:t>
            </w:r>
          </w:p>
        </w:tc>
        <w:tc>
          <w:tcPr>
            <w:tcW w:w="32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894,000</w:t>
            </w:r>
          </w:p>
        </w:tc>
        <w:tc>
          <w:tcPr>
            <w:tcW w:w="30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704,006</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80" w:right="160" w:hanging="31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consisted of the audit of our annual financial statements by year, review of financial statements included in our quarterly reports on Form 10-Q and other services normally provided in connection with statutory and regulatory filings or engagements.</w:t>
      </w:r>
    </w:p>
    <w:p>
      <w:pPr>
        <w:spacing w:after="0" w:line="161"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fees for services relating to registration statement filings.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All services rendered by Baker Tilly to NTIC were permissible under applicable laws and regulations and all services provided to NTIC, other than de minimis non-audit services allowed under applicable law, were approved in advance by the Audit Committee. The Audit Committee has not adopted any formal pre-approval policies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 xml:space="preserve">The Board of Directors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appointment of Baker Tilly as our independent registered public accounting firm for the fiscal year ending August 31, 2026.</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100" w:type="dxa"/>
            <w:vAlign w:val="bottom"/>
            <w:tcBorders>
              <w:top w:val="single" w:sz="8" w:color="auto"/>
              <w:left w:val="single" w:sz="8" w:color="auto"/>
            </w:tcBorders>
            <w:vMerge w:val="restart"/>
          </w:tcPr>
          <w:p>
            <w:pPr>
              <w:ind w:left="268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Proposal Four</w:t>
            </w:r>
          </w:p>
        </w:tc>
        <w:tc>
          <w:tcPr>
            <w:tcW w:w="2140" w:type="dxa"/>
            <w:vAlign w:val="bottom"/>
            <w:tcBorders>
              <w:top w:val="single" w:sz="8" w:color="auto"/>
              <w:right w:val="single" w:sz="8" w:color="auto"/>
            </w:tcBorders>
          </w:tcPr>
          <w:p>
            <w:pPr>
              <w:ind w:left="1480"/>
              <w:spacing w:after="0" w:line="296" w:lineRule="exact"/>
              <w:rPr>
                <w:sz w:val="20"/>
                <w:szCs w:val="20"/>
                <w:color w:val="auto"/>
              </w:rPr>
            </w:pPr>
            <w:r>
              <w:rPr>
                <w:rFonts w:ascii="MS PGothic" w:cs="MS PGothic" w:eastAsia="MS PGothic" w:hAnsi="MS PGothic"/>
                <w:sz w:val="39"/>
                <w:szCs w:val="39"/>
                <w:color w:val="auto"/>
              </w:rPr>
              <w:t>☑</w:t>
            </w:r>
          </w:p>
        </w:tc>
        <w:tc>
          <w:tcPr>
            <w:tcW w:w="0" w:type="dxa"/>
            <w:vAlign w:val="bottom"/>
          </w:tcPr>
          <w:p>
            <w:pPr>
              <w:spacing w:after="0"/>
              <w:rPr>
                <w:sz w:val="1"/>
                <w:szCs w:val="1"/>
                <w:color w:val="auto"/>
              </w:rPr>
            </w:pPr>
          </w:p>
        </w:tc>
      </w:tr>
      <w:tr>
        <w:trPr>
          <w:trHeight w:val="54"/>
        </w:trPr>
        <w:tc>
          <w:tcPr>
            <w:tcW w:w="9100" w:type="dxa"/>
            <w:vAlign w:val="bottom"/>
            <w:tcBorders>
              <w:left w:val="single" w:sz="8" w:color="auto"/>
            </w:tcBorders>
            <w:vMerge w:val="continue"/>
          </w:tcPr>
          <w:p>
            <w:pPr>
              <w:spacing w:after="0"/>
              <w:rPr>
                <w:sz w:val="4"/>
                <w:szCs w:val="4"/>
                <w:color w:val="auto"/>
              </w:rPr>
            </w:pPr>
          </w:p>
        </w:tc>
        <w:tc>
          <w:tcPr>
            <w:tcW w:w="2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9100" w:type="dxa"/>
            <w:vAlign w:val="bottom"/>
            <w:tcBorders>
              <w:left w:val="single" w:sz="8" w:color="auto"/>
              <w:bottom w:val="single" w:sz="8" w:color="auto"/>
            </w:tcBorders>
          </w:tcPr>
          <w:p>
            <w:pPr>
              <w:spacing w:after="0"/>
              <w:rPr>
                <w:sz w:val="10"/>
                <w:szCs w:val="10"/>
                <w:color w:val="auto"/>
              </w:rPr>
            </w:pPr>
          </w:p>
        </w:tc>
        <w:tc>
          <w:tcPr>
            <w:tcW w:w="21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Significant Stockholders and Management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with respect to the beneficial ownership of our common stock as of November 18, 2025, the record date for the Annual Meeting, for:</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more than five percent of the outstanding shares of our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9" w:lineRule="exact"/>
        <w:rPr>
          <w:rFonts w:ascii="Times New Roman" w:cs="Times New Roman" w:eastAsia="Times New Roman" w:hAnsi="Times New Roman"/>
          <w:sz w:val="18"/>
          <w:szCs w:val="18"/>
          <w:color w:val="auto"/>
        </w:rPr>
      </w:pPr>
    </w:p>
    <w:p>
      <w:pPr>
        <w:ind w:left="980" w:right="900" w:hanging="324"/>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executive officers named in the Summary Compensation Table included later in this proxy statement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w:t>
      </w: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director nominees, and executive officers as a group.</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a person includes shares subject to options held by that person that are currently exercisable or that become exercisable within 60 days of November 18, 2025. While some of the persons named in the table below hold restricted stock units, none of these restricted stock units vest or become issuable within 60 days of November 18, 2025. Percentage calculations assume, for each person and group, that all shares that may be acquired by such person or group pursuant to options currently exercisable or that become exercisable within 60 days of November 18, 2025 are outstanding for the purpose of computing the percentage of common stock owned by such person or group. However, such unissued shares of common stock described above are not deemed to be outstanding for calculating the percentage of common stock owned by any other person.</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persons in the table below have sole voting and investment power with respect to all shares of common stock shown as beneficially owned by them, subject to community property laws where applicable and subject to the information contained in the notes to the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78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820" w:type="dxa"/>
            <w:vAlign w:val="bottom"/>
            <w:gridSpan w:val="2"/>
            <w:shd w:val="clear" w:color="auto" w:fill="DDDDDD"/>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1420" w:type="dxa"/>
            <w:vAlign w:val="bottom"/>
            <w:shd w:val="clear" w:color="auto" w:fill="DDDDDD"/>
          </w:tcPr>
          <w:p>
            <w:pPr>
              <w:spacing w:after="0"/>
              <w:rPr>
                <w:sz w:val="17"/>
                <w:szCs w:val="17"/>
                <w:color w:val="auto"/>
              </w:rPr>
            </w:pPr>
          </w:p>
        </w:tc>
      </w:tr>
      <w:tr>
        <w:trPr>
          <w:trHeight w:val="216"/>
        </w:trPr>
        <w:tc>
          <w:tcPr>
            <w:tcW w:w="19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57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820" w:type="dxa"/>
            <w:vAlign w:val="bottom"/>
            <w:gridSpan w:val="2"/>
            <w:shd w:val="clear" w:color="auto" w:fill="DDDDDD"/>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420" w:type="dxa"/>
            <w:vAlign w:val="bottom"/>
            <w:shd w:val="clear" w:color="auto" w:fill="DDDDDD"/>
          </w:tcPr>
          <w:p>
            <w:pPr>
              <w:spacing w:after="0"/>
              <w:rPr>
                <w:sz w:val="18"/>
                <w:szCs w:val="18"/>
                <w:color w:val="auto"/>
              </w:rPr>
            </w:pPr>
          </w:p>
        </w:tc>
      </w:tr>
      <w:tr>
        <w:trPr>
          <w:trHeight w:val="238"/>
        </w:trPr>
        <w:tc>
          <w:tcPr>
            <w:tcW w:w="1960" w:type="dxa"/>
            <w:vAlign w:val="bottom"/>
            <w:tcBorders>
              <w:bottom w:val="single" w:sz="8" w:color="auto"/>
            </w:tcBorders>
            <w:shd w:val="clear" w:color="auto" w:fill="DDDDDD"/>
          </w:tcPr>
          <w:p>
            <w:pPr>
              <w:ind w:left="48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120" w:type="dxa"/>
            <w:vAlign w:val="bottom"/>
            <w:tcBorders>
              <w:bottom w:val="single" w:sz="8" w:color="DDDDDD"/>
            </w:tcBorders>
            <w:shd w:val="clear" w:color="auto" w:fill="DDDDDD"/>
          </w:tcPr>
          <w:p>
            <w:pPr>
              <w:spacing w:after="0"/>
              <w:rPr>
                <w:sz w:val="20"/>
                <w:szCs w:val="20"/>
                <w:color w:val="auto"/>
              </w:rPr>
            </w:pPr>
          </w:p>
        </w:tc>
        <w:tc>
          <w:tcPr>
            <w:tcW w:w="5780" w:type="dxa"/>
            <w:vAlign w:val="bottom"/>
            <w:tcBorders>
              <w:bottom w:val="single" w:sz="8" w:color="auto"/>
            </w:tcBorders>
            <w:shd w:val="clear" w:color="auto" w:fill="DDDDDD"/>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Name and Address of Beneficial Owner</w:t>
            </w:r>
            <w:r>
              <w:rPr>
                <w:rFonts w:ascii="Times New Roman" w:cs="Times New Roman" w:eastAsia="Times New Roman" w:hAnsi="Times New Roman"/>
                <w:sz w:val="27"/>
                <w:szCs w:val="27"/>
                <w:b w:val="1"/>
                <w:bCs w:val="1"/>
                <w:color w:val="auto"/>
                <w:vertAlign w:val="superscript"/>
              </w:rPr>
              <w:t>(1)</w:t>
            </w:r>
          </w:p>
        </w:tc>
        <w:tc>
          <w:tcPr>
            <w:tcW w:w="140" w:type="dxa"/>
            <w:vAlign w:val="bottom"/>
            <w:tcBorders>
              <w:bottom w:val="single" w:sz="8" w:color="DDDDDD"/>
            </w:tcBorders>
            <w:shd w:val="clear" w:color="auto" w:fill="DDDDDD"/>
          </w:tcPr>
          <w:p>
            <w:pPr>
              <w:spacing w:after="0"/>
              <w:rPr>
                <w:sz w:val="20"/>
                <w:szCs w:val="20"/>
                <w:color w:val="auto"/>
              </w:rPr>
            </w:pPr>
          </w:p>
        </w:tc>
        <w:tc>
          <w:tcPr>
            <w:tcW w:w="1740" w:type="dxa"/>
            <w:vAlign w:val="bottom"/>
            <w:tcBorders>
              <w:bottom w:val="single" w:sz="8" w:color="auto"/>
            </w:tcBorders>
            <w:shd w:val="clear" w:color="auto" w:fill="DDDDDD"/>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Ownership</w:t>
            </w:r>
            <w:r>
              <w:rPr>
                <w:rFonts w:ascii="Times New Roman" w:cs="Times New Roman" w:eastAsia="Times New Roman" w:hAnsi="Times New Roman"/>
                <w:sz w:val="27"/>
                <w:szCs w:val="27"/>
                <w:b w:val="1"/>
                <w:bCs w:val="1"/>
                <w:color w:val="auto"/>
                <w:vertAlign w:val="superscript"/>
              </w:rPr>
              <w:t>(2)</w:t>
            </w:r>
          </w:p>
        </w:tc>
        <w:tc>
          <w:tcPr>
            <w:tcW w:w="80" w:type="dxa"/>
            <w:vAlign w:val="bottom"/>
            <w:tcBorders>
              <w:bottom w:val="single" w:sz="8" w:color="DDDDDD"/>
            </w:tcBorders>
            <w:shd w:val="clear" w:color="auto" w:fill="DDDDDD"/>
          </w:tcPr>
          <w:p>
            <w:pPr>
              <w:spacing w:after="0"/>
              <w:rPr>
                <w:sz w:val="20"/>
                <w:szCs w:val="20"/>
                <w:color w:val="auto"/>
              </w:rPr>
            </w:pPr>
          </w:p>
        </w:tc>
        <w:tc>
          <w:tcPr>
            <w:tcW w:w="1420" w:type="dxa"/>
            <w:vAlign w:val="bottom"/>
            <w:tcBorders>
              <w:bottom w:val="single" w:sz="8" w:color="auto"/>
            </w:tcBorders>
            <w:shd w:val="clear" w:color="auto" w:fill="DDDDDD"/>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191"/>
        </w:trPr>
        <w:tc>
          <w:tcPr>
            <w:tcW w:w="78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Directors, Director Nominees, and Officers:</w:t>
            </w: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59,483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61,012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33,392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G. Patrick Lynch</w:t>
            </w:r>
            <w:r>
              <w:rPr>
                <w:rFonts w:ascii="Times New Roman" w:cs="Times New Roman" w:eastAsia="Times New Roman" w:hAnsi="Times New Roman"/>
                <w:sz w:val="25"/>
                <w:szCs w:val="25"/>
                <w:color w:val="auto"/>
                <w:vertAlign w:val="superscript"/>
              </w:rPr>
              <w:t>(3)</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1,622,647</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149,241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147,351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19,203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104,460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Matthew C. Wolsfeld</w:t>
            </w:r>
            <w:r>
              <w:rPr>
                <w:rFonts w:ascii="Times New Roman" w:cs="Times New Roman" w:eastAsia="Times New Roman" w:hAnsi="Times New Roman"/>
                <w:sz w:val="25"/>
                <w:szCs w:val="25"/>
                <w:color w:val="auto"/>
                <w:vertAlign w:val="superscript"/>
              </w:rPr>
              <w:t>(4)</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400,363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director nominees, and executive officers as a group (9 persons)</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2,597,152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24.9%</w:t>
            </w:r>
          </w:p>
        </w:tc>
      </w:tr>
      <w:tr>
        <w:trPr>
          <w:trHeight w:val="168"/>
        </w:trPr>
        <w:tc>
          <w:tcPr>
            <w:tcW w:w="1960" w:type="dxa"/>
            <w:vAlign w:val="bottom"/>
          </w:tcPr>
          <w:p>
            <w:pPr>
              <w:spacing w:after="0"/>
              <w:rPr>
                <w:sz w:val="14"/>
                <w:szCs w:val="14"/>
                <w:color w:val="auto"/>
              </w:rPr>
            </w:pPr>
          </w:p>
        </w:tc>
        <w:tc>
          <w:tcPr>
            <w:tcW w:w="590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0"/>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Beneficial Owners:</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Inter Alia Holding Company</w:t>
            </w:r>
            <w:r>
              <w:rPr>
                <w:rFonts w:ascii="Times New Roman" w:cs="Times New Roman" w:eastAsia="Times New Roman" w:hAnsi="Times New Roman"/>
                <w:sz w:val="25"/>
                <w:szCs w:val="25"/>
                <w:color w:val="auto"/>
                <w:vertAlign w:val="superscript"/>
              </w:rPr>
              <w:t>(6)</w:t>
            </w: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1,203,334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23205 Mercantile Road</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Beachwood, Ohio 44122</w:t>
            </w: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960" w:type="dxa"/>
            <w:vAlign w:val="bottom"/>
          </w:tcPr>
          <w:p>
            <w:pPr>
              <w:spacing w:after="0"/>
              <w:rPr>
                <w:sz w:val="24"/>
                <w:szCs w:val="24"/>
                <w:color w:val="auto"/>
              </w:rPr>
            </w:pPr>
          </w:p>
        </w:tc>
        <w:tc>
          <w:tcPr>
            <w:tcW w:w="5900" w:type="dxa"/>
            <w:vAlign w:val="bottom"/>
            <w:gridSpan w:val="2"/>
          </w:tcPr>
          <w:p>
            <w:pPr>
              <w:jc w:val="right"/>
              <w:ind w:right="205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1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508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2360" w:type="dxa"/>
            <w:vAlign w:val="bottom"/>
            <w:gridSpan w:val="2"/>
            <w:shd w:val="clear" w:color="auto" w:fill="DDDDDD"/>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1420" w:type="dxa"/>
            <w:vAlign w:val="bottom"/>
            <w:shd w:val="clear" w:color="auto" w:fill="DDDDDD"/>
          </w:tcPr>
          <w:p>
            <w:pPr>
              <w:spacing w:after="0"/>
              <w:rPr>
                <w:sz w:val="17"/>
                <w:szCs w:val="17"/>
                <w:color w:val="auto"/>
              </w:rPr>
            </w:pPr>
          </w:p>
        </w:tc>
      </w:tr>
      <w:tr>
        <w:trPr>
          <w:trHeight w:val="238"/>
        </w:trPr>
        <w:tc>
          <w:tcPr>
            <w:tcW w:w="1960" w:type="dxa"/>
            <w:vAlign w:val="bottom"/>
            <w:tcBorders>
              <w:bottom w:val="single" w:sz="8" w:color="auto"/>
            </w:tcBorders>
            <w:shd w:val="clear" w:color="auto" w:fill="DDDDDD"/>
          </w:tcPr>
          <w:p>
            <w:pPr>
              <w:ind w:left="48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00" w:type="dxa"/>
            <w:vAlign w:val="bottom"/>
            <w:tcBorders>
              <w:bottom w:val="single" w:sz="8" w:color="DDDDDD"/>
            </w:tcBorders>
            <w:shd w:val="clear" w:color="auto" w:fill="DDDDDD"/>
          </w:tcPr>
          <w:p>
            <w:pPr>
              <w:spacing w:after="0"/>
              <w:rPr>
                <w:sz w:val="20"/>
                <w:szCs w:val="20"/>
                <w:color w:val="auto"/>
              </w:rPr>
            </w:pPr>
          </w:p>
        </w:tc>
        <w:tc>
          <w:tcPr>
            <w:tcW w:w="5080" w:type="dxa"/>
            <w:vAlign w:val="bottom"/>
            <w:tcBorders>
              <w:bottom w:val="single" w:sz="8" w:color="auto"/>
            </w:tcBorders>
            <w:shd w:val="clear" w:color="auto" w:fill="DDDDDD"/>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Name and Address of Beneficial Owner</w:t>
            </w:r>
            <w:r>
              <w:rPr>
                <w:rFonts w:ascii="Times New Roman" w:cs="Times New Roman" w:eastAsia="Times New Roman" w:hAnsi="Times New Roman"/>
                <w:sz w:val="27"/>
                <w:szCs w:val="27"/>
                <w:b w:val="1"/>
                <w:bCs w:val="1"/>
                <w:color w:val="auto"/>
                <w:vertAlign w:val="superscript"/>
              </w:rPr>
              <w:t>(1)</w:t>
            </w:r>
          </w:p>
        </w:tc>
        <w:tc>
          <w:tcPr>
            <w:tcW w:w="220" w:type="dxa"/>
            <w:vAlign w:val="bottom"/>
            <w:tcBorders>
              <w:bottom w:val="single" w:sz="8" w:color="DDDDDD"/>
            </w:tcBorders>
            <w:shd w:val="clear" w:color="auto" w:fill="DDDDDD"/>
          </w:tcPr>
          <w:p>
            <w:pPr>
              <w:spacing w:after="0"/>
              <w:rPr>
                <w:sz w:val="20"/>
                <w:szCs w:val="20"/>
                <w:color w:val="auto"/>
              </w:rPr>
            </w:pPr>
          </w:p>
        </w:tc>
        <w:tc>
          <w:tcPr>
            <w:tcW w:w="2220" w:type="dxa"/>
            <w:vAlign w:val="bottom"/>
            <w:tcBorders>
              <w:bottom w:val="single" w:sz="8" w:color="auto"/>
            </w:tcBorders>
            <w:shd w:val="clear" w:color="auto" w:fill="DDDDDD"/>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27"/>
                <w:szCs w:val="27"/>
                <w:b w:val="1"/>
                <w:bCs w:val="1"/>
                <w:color w:val="auto"/>
                <w:vertAlign w:val="superscript"/>
              </w:rPr>
              <w:t>(2)</w:t>
            </w:r>
          </w:p>
        </w:tc>
        <w:tc>
          <w:tcPr>
            <w:tcW w:w="140" w:type="dxa"/>
            <w:vAlign w:val="bottom"/>
            <w:tcBorders>
              <w:bottom w:val="single" w:sz="8" w:color="DDDDDD"/>
            </w:tcBorders>
            <w:shd w:val="clear" w:color="auto" w:fill="DDDDDD"/>
          </w:tcPr>
          <w:p>
            <w:pPr>
              <w:spacing w:after="0"/>
              <w:rPr>
                <w:sz w:val="20"/>
                <w:szCs w:val="20"/>
                <w:color w:val="auto"/>
              </w:rPr>
            </w:pPr>
          </w:p>
        </w:tc>
        <w:tc>
          <w:tcPr>
            <w:tcW w:w="142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 of Class</w:t>
            </w:r>
          </w:p>
        </w:tc>
      </w:tr>
      <w:tr>
        <w:trPr>
          <w:trHeight w:val="191"/>
        </w:trPr>
        <w:tc>
          <w:tcPr>
            <w:tcW w:w="1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4"/>
                <w:szCs w:val="14"/>
                <w:color w:val="auto"/>
              </w:rPr>
              <w:t>Needham Investment Management L.L.C.</w:t>
            </w:r>
            <w:r>
              <w:rPr>
                <w:rFonts w:ascii="Times New Roman" w:cs="Times New Roman" w:eastAsia="Times New Roman" w:hAnsi="Times New Roman"/>
                <w:sz w:val="22"/>
                <w:szCs w:val="22"/>
                <w:color w:val="auto"/>
                <w:vertAlign w:val="superscript"/>
              </w:rPr>
              <w:t>(7)</w:t>
            </w:r>
          </w:p>
        </w:tc>
        <w:tc>
          <w:tcPr>
            <w:tcW w:w="2580" w:type="dxa"/>
            <w:vAlign w:val="bottom"/>
            <w:gridSpan w:val="3"/>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640,000</w:t>
            </w:r>
          </w:p>
        </w:tc>
        <w:tc>
          <w:tcPr>
            <w:tcW w:w="1420" w:type="dxa"/>
            <w:vAlign w:val="bottom"/>
          </w:tcPr>
          <w:p>
            <w:pPr>
              <w:jc w:val="right"/>
              <w:ind w:right="430"/>
              <w:spacing w:after="0" w:line="191" w:lineRule="exact"/>
              <w:rPr>
                <w:sz w:val="20"/>
                <w:szCs w:val="20"/>
                <w:color w:val="auto"/>
              </w:rPr>
            </w:pPr>
            <w:r>
              <w:rPr>
                <w:rFonts w:ascii="Times New Roman" w:cs="Times New Roman" w:eastAsia="Times New Roman" w:hAnsi="Times New Roman"/>
                <w:sz w:val="18"/>
                <w:szCs w:val="18"/>
                <w:color w:val="auto"/>
              </w:rPr>
              <w:t>6.8%</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250 Park Avenue,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w:t>
            </w: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10117-1099</w:t>
            </w:r>
          </w:p>
        </w:tc>
        <w:tc>
          <w:tcPr>
            <w:tcW w:w="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07" w:lineRule="exact"/>
        <w:rPr>
          <w:sz w:val="20"/>
          <w:szCs w:val="20"/>
          <w:color w:val="auto"/>
        </w:rPr>
      </w:pPr>
    </w:p>
    <w:p>
      <w:pPr>
        <w:ind w:left="660" w:right="300" w:hanging="652"/>
        <w:spacing w:after="0" w:line="282" w:lineRule="auto"/>
        <w:tabs>
          <w:tab w:leader="none" w:pos="6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for each of the directors, director nominees, and officers of NTIC is c/o Northern Technologies International Corporation, 4201 Woodland Road, Circle Pines, Minnesota 55014.</w:t>
      </w:r>
    </w:p>
    <w:p>
      <w:pPr>
        <w:spacing w:after="0" w:line="16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the persons listed below the following shares of common stock subject to options held by such persons that are currently exercisable or become exercisable within 60 days of November 18,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560" w:type="dxa"/>
            <w:vAlign w:val="bottom"/>
            <w:gridSpan w:val="2"/>
            <w:shd w:val="clear" w:color="auto" w:fill="DDDDDD"/>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 of</w:t>
            </w:r>
          </w:p>
        </w:tc>
      </w:tr>
      <w:tr>
        <w:trPr>
          <w:trHeight w:val="216"/>
        </w:trPr>
        <w:tc>
          <w:tcPr>
            <w:tcW w:w="95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60" w:type="dxa"/>
            <w:vAlign w:val="bottom"/>
            <w:gridSpan w:val="2"/>
            <w:shd w:val="clear" w:color="auto" w:fill="DDDDDD"/>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95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60" w:type="dxa"/>
            <w:vAlign w:val="bottom"/>
            <w:gridSpan w:val="2"/>
            <w:shd w:val="clear" w:color="auto" w:fill="DDDDDD"/>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r>
      <w:tr>
        <w:trPr>
          <w:trHeight w:val="238"/>
        </w:trPr>
        <w:tc>
          <w:tcPr>
            <w:tcW w:w="95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shd w:val="clear" w:color="auto" w:fill="DDDDDD"/>
          </w:tcPr>
          <w:p>
            <w:pPr>
              <w:spacing w:after="0"/>
              <w:rPr>
                <w:sz w:val="20"/>
                <w:szCs w:val="20"/>
                <w:color w:val="auto"/>
              </w:rPr>
            </w:pPr>
          </w:p>
        </w:tc>
        <w:tc>
          <w:tcPr>
            <w:tcW w:w="1560" w:type="dxa"/>
            <w:vAlign w:val="bottom"/>
            <w:gridSpan w:val="2"/>
            <w:shd w:val="clear" w:color="auto" w:fill="DDDDDD"/>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r>
      <w:tr>
        <w:trPr>
          <w:trHeight w:val="191"/>
        </w:trPr>
        <w:tc>
          <w:tcPr>
            <w:tcW w:w="9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Directors and Director Nominees</w:t>
            </w:r>
          </w:p>
        </w:tc>
        <w:tc>
          <w:tcPr>
            <w:tcW w:w="120" w:type="dxa"/>
            <w:vAlign w:val="bottom"/>
            <w:tcBorders>
              <w:top w:val="single" w:sz="8" w:color="DDDDDD"/>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DDDDDD"/>
            </w:tcBorders>
          </w:tcPr>
          <w:p>
            <w:pPr>
              <w:spacing w:after="0"/>
              <w:rPr>
                <w:sz w:val="16"/>
                <w:szCs w:val="16"/>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51,481</w:t>
            </w:r>
          </w:p>
        </w:tc>
        <w:tc>
          <w:tcPr>
            <w:tcW w:w="10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51,481</w:t>
            </w:r>
          </w:p>
        </w:tc>
        <w:tc>
          <w:tcPr>
            <w:tcW w:w="10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30,073</w:t>
            </w:r>
          </w:p>
        </w:tc>
        <w:tc>
          <w:tcPr>
            <w:tcW w:w="10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314,029</w:t>
            </w:r>
          </w:p>
        </w:tc>
        <w:tc>
          <w:tcPr>
            <w:tcW w:w="10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42,478</w:t>
            </w:r>
          </w:p>
        </w:tc>
        <w:tc>
          <w:tcPr>
            <w:tcW w:w="10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108,289</w:t>
            </w:r>
          </w:p>
        </w:tc>
        <w:tc>
          <w:tcPr>
            <w:tcW w:w="10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Pr>
          <w:p>
            <w:pPr>
              <w:spacing w:after="0"/>
              <w:rPr>
                <w:sz w:val="18"/>
                <w:szCs w:val="18"/>
                <w:color w:val="auto"/>
              </w:rPr>
            </w:pPr>
          </w:p>
        </w:tc>
      </w:tr>
      <w:tr>
        <w:trPr>
          <w:trHeight w:val="21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86,241</w:t>
            </w:r>
          </w:p>
        </w:tc>
        <w:tc>
          <w:tcPr>
            <w:tcW w:w="100" w:type="dxa"/>
            <w:vAlign w:val="bottom"/>
          </w:tcPr>
          <w:p>
            <w:pPr>
              <w:spacing w:after="0"/>
              <w:rPr>
                <w:sz w:val="18"/>
                <w:szCs w:val="18"/>
                <w:color w:val="auto"/>
              </w:rPr>
            </w:pPr>
          </w:p>
        </w:tc>
      </w:tr>
      <w:tr>
        <w:trPr>
          <w:trHeight w:val="220"/>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315,029</w:t>
            </w:r>
          </w:p>
        </w:tc>
        <w:tc>
          <w:tcPr>
            <w:tcW w:w="100" w:type="dxa"/>
            <w:vAlign w:val="bottom"/>
          </w:tcPr>
          <w:p>
            <w:pPr>
              <w:spacing w:after="0"/>
              <w:rPr>
                <w:sz w:val="18"/>
                <w:szCs w:val="18"/>
                <w:color w:val="auto"/>
              </w:rPr>
            </w:pP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232,107</w:t>
            </w:r>
          </w:p>
        </w:tc>
        <w:tc>
          <w:tcPr>
            <w:tcW w:w="100" w:type="dxa"/>
            <w:vAlign w:val="bottom"/>
          </w:tcPr>
          <w:p>
            <w:pPr>
              <w:spacing w:after="0"/>
              <w:rPr>
                <w:sz w:val="20"/>
                <w:szCs w:val="20"/>
                <w:color w:val="auto"/>
              </w:rPr>
            </w:pPr>
          </w:p>
        </w:tc>
      </w:tr>
      <w:tr>
        <w:trPr>
          <w:trHeight w:val="21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director nominees, and executive officers as a group (9 persons)</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931,611</w:t>
            </w:r>
          </w:p>
        </w:tc>
        <w:tc>
          <w:tcPr>
            <w:tcW w:w="100" w:type="dxa"/>
            <w:vAlign w:val="bottom"/>
            <w:tcBorders>
              <w:top w:val="single" w:sz="8" w:color="auto"/>
              <w:bottom w:val="single" w:sz="8" w:color="auto"/>
            </w:tcBorders>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1,203,334 shares held by Inter Alia Holding Company. See note (6) below.</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in a joint tenant account with Matthew C. Wolsfeld’s spouse.</w:t>
      </w:r>
    </w:p>
    <w:p>
      <w:pPr>
        <w:spacing w:after="0" w:line="225"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6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beneficially owned by all current directors, director nominees, and executive officers as a group includes 1,203,334 shares held of record by Inter Alia Holding Company. See notes (3) above and (6) below.</w:t>
      </w:r>
    </w:p>
    <w:p>
      <w:pPr>
        <w:spacing w:after="0" w:line="161"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13D/A filed with the SEC on September 4, 2024, Inter Alia Holding Company is an entity of which G. Patrick Lynch, our President and Chief Executive Officer, is a stockholder. G. Patrick Lynch shares voting and dispositive power over such shares with two other members of his family.</w:t>
      </w:r>
    </w:p>
    <w:p>
      <w:pPr>
        <w:spacing w:after="0" w:line="175"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1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13G/A filed with the SEC on November 13, 2025, Needham Investment Management L.L.C. shares voting and dispositive power over 640,000 shares with Needham Asset Management, LLC, Needham Aggressive Growth Fund and George A. Needham. Needham Investment Management L.L.C. is the relevant entity for which each of Needham Asset Management, LLC and George A. Needham may be considered a control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We maintain stock ownership guidelines that are intended to further align the interests of our directors and executive officers with those of our stockholders. The stock ownership guidelines for our directors and executive officers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Borders>
              <w:bottom w:val="single" w:sz="8" w:color="auto"/>
            </w:tcBorders>
            <w:shd w:val="clear" w:color="auto" w:fill="DDDDDD"/>
          </w:tcPr>
          <w:p>
            <w:pPr>
              <w:ind w:left="26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780" w:type="dxa"/>
            <w:vAlign w:val="bottom"/>
            <w:tcBorders>
              <w:bottom w:val="single" w:sz="8" w:color="auto"/>
            </w:tcBorders>
            <w:shd w:val="clear" w:color="auto" w:fill="DDDDDD"/>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Guideline</w:t>
            </w:r>
          </w:p>
        </w:tc>
      </w:tr>
      <w:tr>
        <w:trPr>
          <w:trHeight w:val="20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Non-Employee Director</w:t>
            </w:r>
          </w:p>
        </w:tc>
        <w:tc>
          <w:tcPr>
            <w:tcW w:w="57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3x annual cash retainer</w:t>
            </w:r>
          </w:p>
        </w:tc>
      </w:tr>
      <w:tr>
        <w:trPr>
          <w:trHeight w:val="210"/>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7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6x annual base salary</w:t>
            </w:r>
          </w:p>
        </w:tc>
      </w:tr>
      <w:tr>
        <w:trPr>
          <w:trHeight w:val="209"/>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57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3x annual base salary</w:t>
            </w: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has five years from the establishment of these guidelines in November 2021 and, thereafter, from the date of appointment or hire or, if the ownership multiple has increased during such director’s or executive’s tenure, five years from the date established in connection with such increase to reach his or her ownership targets. Both our Chief Executive Officer and Chief Financial Officer are in compliance with these guidelines, as are most of our longer serving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table below summarizes outstanding options and other awards under NTIC’s equity compensation plans as of August 31, 2025. NTIC’s equity compensation plans as of August 31, 2025 were the Northern Technologies International Corporation 2024 Stock Incentive Plan,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Except for automatic annual grants of $50,000 in options to purchase shares of NTIC common stock, or restricted stock units (“RSUs”) if so elected, to NTIC’s directors in consideration for their services as directors of NTIC and an automatic annual grant of $10,000 in options to purchase shares of NTIC common stock, or RSUs if so elected, to NTIC’s Chairman of the Board in consideration for his services as Chairman, in each case on the first day of each fiscal year, and automatic initial pro rata grants of $50,000 in options to purchase shares of NTIC common stock to NTIC’s new directors in consideration for their services as directors of NTIC on the first date of their appointment as directors, options and other awards granted in the future under the Northern Technologies International Corporation 2024 Stock Incentive Plan are within the discretion of the Board of Directors and the Compensation Committee of the Board of Directors and, therefore, cannot be ascertained at this time. No future grants of options, RSUs or other stock awards will be made under the Northern Technologies International Corporation Amended and Restated 2019 Stock Incentive Plan or the Northern Technologies International Corporation Amended and Restated 2007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60" w:type="dxa"/>
            <w:vAlign w:val="bottom"/>
          </w:tcPr>
          <w:p>
            <w:pPr>
              <w:spacing w:after="0"/>
              <w:rPr>
                <w:sz w:val="18"/>
                <w:szCs w:val="18"/>
                <w:color w:val="auto"/>
              </w:rPr>
            </w:pPr>
          </w:p>
        </w:tc>
        <w:tc>
          <w:tcPr>
            <w:tcW w:w="1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Under 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7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62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3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320" w:type="dxa"/>
            <w:vAlign w:val="bottom"/>
            <w:gridSpan w:val="2"/>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60" w:type="dxa"/>
            <w:vAlign w:val="bottom"/>
          </w:tcPr>
          <w:p>
            <w:pPr>
              <w:spacing w:after="0"/>
              <w:rPr>
                <w:sz w:val="20"/>
                <w:szCs w:val="20"/>
                <w:color w:val="auto"/>
              </w:rPr>
            </w:pPr>
          </w:p>
        </w:tc>
      </w:tr>
      <w:tr>
        <w:trPr>
          <w:trHeight w:val="40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1,934,451</w:t>
            </w:r>
            <w:r>
              <w:rPr>
                <w:rFonts w:ascii="Times New Roman" w:cs="Times New Roman" w:eastAsia="Times New Roman" w:hAnsi="Times New Roman"/>
                <w:sz w:val="29"/>
                <w:szCs w:val="29"/>
                <w:color w:val="auto"/>
                <w:vertAlign w:val="superscript"/>
              </w:rPr>
              <w:t>(1)(2)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811,144</w:t>
            </w:r>
            <w:r>
              <w:rPr>
                <w:rFonts w:ascii="Times New Roman" w:cs="Times New Roman" w:eastAsia="Times New Roman" w:hAnsi="Times New Roman"/>
                <w:sz w:val="29"/>
                <w:szCs w:val="29"/>
                <w:color w:val="auto"/>
                <w:vertAlign w:val="superscript"/>
              </w:rPr>
              <w:t>(4)</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20"/>
                <w:szCs w:val="20"/>
                <w:color w:val="auto"/>
              </w:rPr>
            </w:pPr>
          </w:p>
        </w:tc>
        <w:tc>
          <w:tcPr>
            <w:tcW w:w="17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1660" w:type="dxa"/>
            <w:vAlign w:val="bottom"/>
            <w:tcBorders>
              <w:top w:val="single" w:sz="8" w:color="auto"/>
            </w:tcBorders>
            <w:gridSpan w:val="2"/>
          </w:tcPr>
          <w:p>
            <w:pPr>
              <w:jc w:val="right"/>
              <w:ind w:right="220"/>
              <w:spacing w:after="0" w:line="191" w:lineRule="exact"/>
              <w:rPr>
                <w:sz w:val="20"/>
                <w:szCs w:val="20"/>
                <w:color w:val="auto"/>
              </w:rPr>
            </w:pPr>
            <w:r>
              <w:rPr>
                <w:rFonts w:ascii="Times New Roman" w:cs="Times New Roman" w:eastAsia="Times New Roman" w:hAnsi="Times New Roman"/>
                <w:sz w:val="14"/>
                <w:szCs w:val="14"/>
                <w:color w:val="auto"/>
              </w:rPr>
              <w:t>1,934,451</w:t>
            </w:r>
            <w:r>
              <w:rPr>
                <w:rFonts w:ascii="Times New Roman" w:cs="Times New Roman" w:eastAsia="Times New Roman" w:hAnsi="Times New Roman"/>
                <w:sz w:val="22"/>
                <w:szCs w:val="22"/>
                <w:color w:val="auto"/>
                <w:vertAlign w:val="superscript"/>
              </w:rPr>
              <w:t>(1)(2)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gridSpan w:val="2"/>
          </w:tcPr>
          <w:p>
            <w:pPr>
              <w:jc w:val="right"/>
              <w:ind w:right="220"/>
              <w:spacing w:after="0" w:line="191" w:lineRule="exact"/>
              <w:rPr>
                <w:sz w:val="20"/>
                <w:szCs w:val="20"/>
                <w:color w:val="auto"/>
              </w:rPr>
            </w:pPr>
            <w:r>
              <w:rPr>
                <w:rFonts w:ascii="Times New Roman" w:cs="Times New Roman" w:eastAsia="Times New Roman" w:hAnsi="Times New Roman"/>
                <w:sz w:val="14"/>
                <w:szCs w:val="14"/>
                <w:color w:val="auto"/>
              </w:rPr>
              <w:t>11.86</w:t>
            </w:r>
            <w:r>
              <w:rPr>
                <w:rFonts w:ascii="Times New Roman" w:cs="Times New Roman" w:eastAsia="Times New Roman" w:hAnsi="Times New Roman"/>
                <w:sz w:val="22"/>
                <w:szCs w:val="22"/>
                <w:color w:val="auto"/>
                <w:vertAlign w:val="superscript"/>
              </w:rPr>
              <w:t>(3)</w:t>
            </w:r>
          </w:p>
        </w:tc>
        <w:tc>
          <w:tcPr>
            <w:tcW w:w="10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60"/>
              <w:spacing w:after="0" w:line="191" w:lineRule="exact"/>
              <w:rPr>
                <w:sz w:val="20"/>
                <w:szCs w:val="20"/>
                <w:color w:val="auto"/>
              </w:rPr>
            </w:pPr>
            <w:r>
              <w:rPr>
                <w:rFonts w:ascii="Times New Roman" w:cs="Times New Roman" w:eastAsia="Times New Roman" w:hAnsi="Times New Roman"/>
                <w:sz w:val="14"/>
                <w:szCs w:val="14"/>
                <w:color w:val="auto"/>
              </w:rPr>
              <w:t>811,144</w:t>
            </w:r>
            <w:r>
              <w:rPr>
                <w:rFonts w:ascii="Times New Roman" w:cs="Times New Roman" w:eastAsia="Times New Roman" w:hAnsi="Times New Roman"/>
                <w:sz w:val="22"/>
                <w:szCs w:val="22"/>
                <w:color w:val="auto"/>
                <w:vertAlign w:val="superscript"/>
              </w:rPr>
              <w:t>(4)</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0"/>
          <w:szCs w:val="20"/>
          <w:color w:val="auto"/>
        </w:rPr>
      </w:pPr>
    </w:p>
    <w:p>
      <w:pPr>
        <w:ind w:left="660" w:right="160" w:hanging="652"/>
        <w:spacing w:after="0" w:line="256" w:lineRule="auto"/>
        <w:tabs>
          <w:tab w:leader="none" w:pos="6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290,533 shares of NTIC common stock issuable upon the exercise of stock options outstanding as of August 31, 2025 under the Northern Technologies International Corporation Amended and Restated 2007 Stock Incentive Plan, 1,387,415 shares of NTIC common stock issuable upon the exercise of stock options outstanding as of August 31, 2025 under the Northern Technologies International Corporation Amended and Restated 2019 Stock Incentive Plan, and 245,190 shares of NTIC common stock issuable upon the exercise of stock options and 11,313 shares of NTIC common stock issuable upon the vesting and settlement of restricted stock units outstanding as of August 31, 2025 under the Northern Technologies International Corporation 2024 Stock Incentive Plan.</w:t>
      </w:r>
    </w:p>
    <w:p>
      <w:pPr>
        <w:spacing w:after="0" w:line="187" w:lineRule="exact"/>
        <w:rPr>
          <w:rFonts w:ascii="Times New Roman" w:cs="Times New Roman" w:eastAsia="Times New Roman" w:hAnsi="Times New Roman"/>
          <w:sz w:val="18"/>
          <w:szCs w:val="18"/>
          <w:color w:val="auto"/>
        </w:rPr>
      </w:pPr>
    </w:p>
    <w:p>
      <w:pPr>
        <w:ind w:left="660" w:right="60" w:hanging="652"/>
        <w:spacing w:after="0" w:line="258" w:lineRule="auto"/>
        <w:tabs>
          <w:tab w:leader="none" w:pos="6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183" w:lineRule="exact"/>
        <w:rPr>
          <w:rFonts w:ascii="Times New Roman" w:cs="Times New Roman" w:eastAsia="Times New Roman" w:hAnsi="Times New Roman"/>
          <w:sz w:val="18"/>
          <w:szCs w:val="18"/>
          <w:color w:val="auto"/>
        </w:rPr>
      </w:pPr>
    </w:p>
    <w:p>
      <w:pPr>
        <w:ind w:left="660" w:right="700" w:hanging="652"/>
        <w:spacing w:after="0" w:line="282" w:lineRule="auto"/>
        <w:tabs>
          <w:tab w:leader="none" w:pos="6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included in the weighted-average exercise price calculation are 11,313 restricted stock units granted under the Northern Technologies International Corporation 2024 Stock Incentive Plan since such restricted stock units do not have an exercise price.</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763,273 shares available as of August 31, 2025 for future issuance under Northern Technologies International Corporation 2024 Stock Incentive Plan and 47,871 shares available at August 31, 2025 for future issuance under the Northern Technologies International Corporation Employee Stock Purchase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Best Practices</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maintain several corporate governance best practices, which are designed to promote actions that benefit our stockholders and create a framework for our decision-making.</w:t>
      </w:r>
    </w:p>
    <w:p>
      <w:pPr>
        <w:spacing w:after="0" w:line="158"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b w:val="1"/>
          <w:bCs w:val="1"/>
          <w:color w:val="auto"/>
        </w:rPr>
        <w:t>Annual election of all directors</w:t>
      </w:r>
      <w:r>
        <w:rPr>
          <w:sz w:val="20"/>
          <w:szCs w:val="20"/>
          <w:color w:val="auto"/>
        </w:rPr>
        <w:tab/>
      </w:r>
      <w:r>
        <w:rPr>
          <w:rFonts w:ascii="Times New Roman" w:cs="Times New Roman" w:eastAsia="Times New Roman" w:hAnsi="Times New Roman"/>
          <w:sz w:val="17"/>
          <w:szCs w:val="17"/>
          <w:color w:val="auto"/>
        </w:rPr>
        <w:t>All directors are elected annually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“Plurality plus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vote standard for uncontested director elections, </w:t>
      </w:r>
      <w:r>
        <w:rPr>
          <w:rFonts w:ascii="Times New Roman" w:cs="Times New Roman" w:eastAsia="Times New Roman" w:hAnsi="Times New Roman"/>
          <w:sz w:val="18"/>
          <w:szCs w:val="18"/>
          <w:color w:val="auto"/>
        </w:rPr>
        <w:t>In an uncontested election, any director nominee who receives a greater number of</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a director resignation policy</w:t>
            </w:r>
          </w:p>
        </w:tc>
        <w:tc>
          <w:tcPr>
            <w:tcW w:w="6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votes “withheld” from his or her election than votes “for” is required to tender a</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written offer to resign from the Board.</w:t>
            </w:r>
          </w:p>
        </w:tc>
      </w:tr>
      <w:tr>
        <w:trPr>
          <w:trHeight w:val="210"/>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75% of our directors are independent</w:t>
            </w: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Six of the eight directors on our Board are independent.</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Annual Board and committee evaluations</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It is our practice to conduct annual Board and committees performance self-</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evaluations.</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 poison pill</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We believe that not having a poison pill benefits our stockholders by not</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discouraging takeover attempts that may increase value for our stockholders.</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Board oversight of ESG initiatives</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The Nominating and Corporate Governance Committee has oversight authority over</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our ESG initiatives and coordinates with our other Board committees.</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Robust stockholder outreach program</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Each year, our executives hold meetings to seek stockholder input and strive to take</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actions that reflect the input received.</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Annual say-on-pay vote</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Our Board recommended, and our stockholders voted in favor of, an annual advisory</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stockholder vote on executive compensation.</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Officer and director stock ownership requirements</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We have stock ownership guidelines for our directors and officers that require</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maintenance of a specified level of ownership based on compensation.</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Hedging and pledging prohibitions</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We prohibit our executives from engaging in any hedging transactions, short sales,</w:t>
            </w:r>
          </w:p>
        </w:tc>
      </w:tr>
      <w:tr>
        <w:trPr>
          <w:trHeight w:val="216"/>
        </w:trPr>
        <w:tc>
          <w:tcPr>
            <w:tcW w:w="4480" w:type="dxa"/>
            <w:vAlign w:val="bottom"/>
          </w:tcPr>
          <w:p>
            <w:pPr>
              <w:spacing w:after="0"/>
              <w:rPr>
                <w:sz w:val="18"/>
                <w:szCs w:val="18"/>
                <w:color w:val="auto"/>
              </w:rPr>
            </w:pPr>
          </w:p>
        </w:tc>
        <w:tc>
          <w:tcPr>
            <w:tcW w:w="6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transactions in publicly traded options, such as puts, calls and other derivatives,</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short-term trading and pledging our securities.</w:t>
            </w: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Robust clawback policy</w:t>
            </w:r>
          </w:p>
        </w:tc>
        <w:tc>
          <w:tcPr>
            <w:tcW w:w="67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We maintain a robust, Nasdaq-compliant clawback policy which applies not only to</w:t>
            </w:r>
          </w:p>
        </w:tc>
      </w:tr>
      <w:tr>
        <w:trPr>
          <w:trHeight w:val="216"/>
        </w:trPr>
        <w:tc>
          <w:tcPr>
            <w:tcW w:w="4480" w:type="dxa"/>
            <w:vAlign w:val="bottom"/>
          </w:tcPr>
          <w:p>
            <w:pPr>
              <w:spacing w:after="0"/>
              <w:rPr>
                <w:sz w:val="18"/>
                <w:szCs w:val="18"/>
                <w:color w:val="auto"/>
              </w:rPr>
            </w:pPr>
          </w:p>
        </w:tc>
        <w:tc>
          <w:tcPr>
            <w:tcW w:w="6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financial restatements, but also if a financial metric used to determine the vesting or</w:t>
            </w:r>
          </w:p>
        </w:tc>
      </w:tr>
      <w:tr>
        <w:trPr>
          <w:trHeight w:val="216"/>
        </w:trPr>
        <w:tc>
          <w:tcPr>
            <w:tcW w:w="4480" w:type="dxa"/>
            <w:vAlign w:val="bottom"/>
          </w:tcPr>
          <w:p>
            <w:pPr>
              <w:spacing w:after="0"/>
              <w:rPr>
                <w:sz w:val="18"/>
                <w:szCs w:val="18"/>
                <w:color w:val="auto"/>
              </w:rPr>
            </w:pPr>
          </w:p>
        </w:tc>
        <w:tc>
          <w:tcPr>
            <w:tcW w:w="6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payment of compensation was calculated incorrectly or if an executive engages in</w:t>
            </w:r>
          </w:p>
        </w:tc>
      </w:tr>
      <w:tr>
        <w:trPr>
          <w:trHeight w:val="234"/>
        </w:trPr>
        <w:tc>
          <w:tcPr>
            <w:tcW w:w="448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egregious conduct that is substantially detrimental to NTIC.</w:t>
            </w:r>
          </w:p>
        </w:tc>
      </w:tr>
      <w:tr>
        <w:trPr>
          <w:trHeight w:val="209"/>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Single class of stock</w:t>
            </w:r>
          </w:p>
        </w:tc>
        <w:tc>
          <w:tcPr>
            <w:tcW w:w="6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have a single class of stock, so our stockholders all have equal voting rights.</w:t>
            </w:r>
          </w:p>
        </w:tc>
      </w:tr>
      <w:tr>
        <w:trPr>
          <w:trHeight w:val="426"/>
        </w:trPr>
        <w:tc>
          <w:tcPr>
            <w:tcW w:w="4480" w:type="dxa"/>
            <w:vAlign w:val="bottom"/>
          </w:tcPr>
          <w:p>
            <w:pPr>
              <w:spacing w:after="0"/>
              <w:rPr>
                <w:sz w:val="24"/>
                <w:szCs w:val="24"/>
                <w:color w:val="auto"/>
              </w:rPr>
            </w:pPr>
          </w:p>
        </w:tc>
        <w:tc>
          <w:tcPr>
            <w:tcW w:w="6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35</w:t>
            </w:r>
          </w:p>
        </w:tc>
      </w:tr>
      <w:tr>
        <w:trPr>
          <w:trHeight w:val="115"/>
        </w:trPr>
        <w:tc>
          <w:tcPr>
            <w:tcW w:w="448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has adopted Corporate Governance Guidelines, which can be found on the “Investor Relations—Corporate Governance” section of our corporate website </w:t>
      </w:r>
      <w:r>
        <w:rPr>
          <w:rFonts w:ascii="Times New Roman" w:cs="Times New Roman" w:eastAsia="Times New Roman" w:hAnsi="Times New Roman"/>
          <w:sz w:val="18"/>
          <w:szCs w:val="18"/>
          <w:i w:val="1"/>
          <w:iCs w:val="1"/>
          <w:color w:val="auto"/>
        </w:rPr>
        <w:t>www.ntic.com</w:t>
      </w:r>
      <w:r>
        <w:rPr>
          <w:rFonts w:ascii="Times New Roman" w:cs="Times New Roman" w:eastAsia="Times New Roman" w:hAnsi="Times New Roman"/>
          <w:sz w:val="18"/>
          <w:szCs w:val="18"/>
          <w:color w:val="auto"/>
        </w:rPr>
        <w:t>. Among the topics addressed in our Corporate Governance Guidelines are:</w:t>
      </w:r>
    </w:p>
    <w:p>
      <w:pPr>
        <w:sectPr>
          <w:pgSz w:w="11900" w:h="16838" w:orient="portrait"/>
          <w:cols w:equalWidth="0" w:num="1">
            <w:col w:w="11220"/>
          </w:cols>
          <w:pgMar w:left="320" w:top="576" w:right="359" w:bottom="1440" w:gutter="0" w:footer="0" w:header="0"/>
        </w:sectPr>
      </w:pPr>
    </w:p>
    <w:p>
      <w:pPr>
        <w:spacing w:after="0" w:line="162"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size, composition and qualifications</w:t>
      </w:r>
    </w:p>
    <w:p>
      <w:pPr>
        <w:spacing w:after="0" w:line="38"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directors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01" w:hanging="301"/>
        <w:spacing w:after="0"/>
        <w:tabs>
          <w:tab w:leader="none" w:pos="3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directors who receive less than a majority vote</w:t>
      </w:r>
    </w:p>
    <w:p>
      <w:pPr>
        <w:spacing w:after="0" w:line="27" w:lineRule="exact"/>
        <w:rPr>
          <w:rFonts w:ascii="Times New Roman" w:cs="Times New Roman" w:eastAsia="Times New Roman" w:hAnsi="Times New Roman"/>
          <w:sz w:val="18"/>
          <w:szCs w:val="18"/>
          <w:color w:val="auto"/>
        </w:rPr>
      </w:pPr>
    </w:p>
    <w:p>
      <w:pPr>
        <w:ind w:left="301" w:right="200" w:hanging="301"/>
        <w:spacing w:after="0" w:line="250" w:lineRule="auto"/>
        <w:tabs>
          <w:tab w:leader="none" w:pos="3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principal occupation and board memberships and limits on board memberships held</w:t>
      </w:r>
    </w:p>
    <w:p>
      <w:pPr>
        <w:spacing w:after="0" w:line="1" w:lineRule="exact"/>
        <w:rPr>
          <w:sz w:val="20"/>
          <w:szCs w:val="20"/>
          <w:color w:val="auto"/>
        </w:rPr>
      </w:pPr>
    </w:p>
    <w:p>
      <w:pPr>
        <w:sectPr>
          <w:pgSz w:w="11900" w:h="16838" w:orient="portrait"/>
          <w:cols w:equalWidth="0" w:num="2">
            <w:col w:w="4539" w:space="720"/>
            <w:col w:w="5961"/>
          </w:cols>
          <w:pgMar w:left="320" w:top="576" w:right="3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438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New director orientation</w:t>
            </w:r>
          </w:p>
        </w:tc>
        <w:tc>
          <w:tcPr>
            <w:tcW w:w="840" w:type="dxa"/>
            <w:vAlign w:val="bottom"/>
          </w:tcPr>
          <w:p>
            <w:pPr>
              <w:ind w:left="640"/>
              <w:spacing w:after="0" w:line="199" w:lineRule="exact"/>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Board compensation</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leadership</w:t>
            </w:r>
          </w:p>
        </w:tc>
        <w:tc>
          <w:tcPr>
            <w:tcW w:w="4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Stock ownership by directors and executive officers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succession planning</w:t>
            </w:r>
          </w:p>
        </w:tc>
        <w:tc>
          <w:tcPr>
            <w:tcW w:w="4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Loans to directors and executive officers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committees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CEO evaluation</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Board and committee meetings</w:t>
            </w:r>
          </w:p>
        </w:tc>
        <w:tc>
          <w:tcPr>
            <w:tcW w:w="4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Board and committee evaluation</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Executive sessions of independent directors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continuing education</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Meeting attendance by directors and non-directors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Succession planning</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Appropriate information and access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person transactions</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Ability to retain advisors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Communications with directors</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Conflicts of interest and director independence</w:t>
            </w:r>
          </w:p>
        </w:tc>
        <w:tc>
          <w:tcPr>
            <w:tcW w:w="46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Duty of loyalty and confidentiality</w:t>
            </w:r>
          </w:p>
        </w:tc>
      </w:tr>
    </w:tbl>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interaction with corporate constituencies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term limits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resignation policy</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our Corporate Governance Guidelines, the office of Chairman of the Board and Chief Executive Officer may or may not be held by one person. The Board of Directors believes it is best not to have a fixed policy on this issue and that it should be free to make this determination based on what it believes is best under the circumstances. However, the Board of Directors strongly endorses the concept of an independent director being in a position of leadership. Under our Corporate Governance Guidelines, if at any time the Chief Executive Officer and Chairman of the Board positions are held by the same person, the Board of Directors will elect an independent director as a lead independent director.</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G. Patrick Lynch currently serves as our President and Chief Executive Officer, and Richard J. Nigon serves as our non-executive Chairman of the Board. Because the Chief Executive Officer and Chairman of the Board positions currently are not held by the same person, we do not have a lead independent director. We believe this leadership structure is in the best interests of NTIC and our stockholders and strikes the appropriate balance between the Chief Executive Officer’s responsibility for the strategic direction, day-to-day-leadership and performance of NTIC and the Chairman’s responsibility to provide oversight of NTIC’s corporate governance and guidance to our Chief Executive Officer and to set the agenda for and preside over Board meetings.</w:t>
      </w:r>
    </w:p>
    <w:p>
      <w:pPr>
        <w:spacing w:after="0" w:line="1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each regular Board of Directors meeting, our independent directors meet in executive session with no company management present during a portion of the meeting. After each such executive session, our Chairman of the Board provides our Chief Executive Officer with any actionable feedback from our independent directors.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Board of Directors has affirmatively determined that six of NTIC’s current eight directors are “independent directors” under the Listing Rules of the Nasdaq Stock Market: Nancy E. Calderon, Sarah E. Kemp, Sunggyu Lee, Ph.D., Richard J. Nigon, Cristina Pinho and Konstantin von Falkenhausen.</w:t>
      </w:r>
    </w:p>
    <w:p>
      <w:pPr>
        <w:spacing w:after="0" w:line="16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In making these affirmative determinations that such individuals are “independent,” the Board of Directors reviewed and discussed information provided by the directors and by NTIC with regard to each director’s business and personal activities as they may relate to NTIC and NTIC’s management.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of Directors met four times during the fiscal year ended August 31, 2025. Each of our current directors attended at least 75% of the aggregate of the total number of meetings of the Board and the total number of meetings held by all Board committees on which the director 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Board of Directors has a standing Audit Committee, Compensation Committee and Nominating and Corporate Governance Committee, each of which has the composition and responsibilities described below. The Board of Directors, from time to time, may establish other committees to facilitate the management of NTIC and may change the composition and responsibilities of our existing committees. Each of the Audit Committee, Compensation Committee and Nominating and Corporate Governance Committee operates under a written charter adopted by the Board of Directors, which can be found on the “Investor Relations—Corporate Governance” section of our corporate website </w:t>
      </w:r>
      <w:r>
        <w:rPr>
          <w:rFonts w:ascii="Times New Roman" w:cs="Times New Roman" w:eastAsia="Times New Roman" w:hAnsi="Times New Roman"/>
          <w:sz w:val="18"/>
          <w:szCs w:val="18"/>
          <w:i w:val="1"/>
          <w:iCs w:val="1"/>
          <w:color w:val="auto"/>
        </w:rPr>
        <w:t>www.ntic.com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membership of each of our three Board committees. To refresh our Board committees, we recently switched the Chairs of our Compensation and Nominating and Corporate Governance Committees.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8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38"/>
        </w:trPr>
        <w:tc>
          <w:tcPr>
            <w:tcW w:w="3580" w:type="dxa"/>
            <w:vAlign w:val="bottom"/>
            <w:tcBorders>
              <w:bottom w:val="single" w:sz="8" w:color="auto"/>
            </w:tcBorders>
            <w:shd w:val="clear" w:color="auto" w:fill="DDDDDD"/>
          </w:tcPr>
          <w:p>
            <w:pPr>
              <w:ind w:left="14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00" w:type="dxa"/>
            <w:vAlign w:val="bottom"/>
            <w:tcBorders>
              <w:bottom w:val="single" w:sz="8" w:color="DDDDDD"/>
            </w:tcBorders>
            <w:shd w:val="clear" w:color="auto" w:fill="DDDDDD"/>
          </w:tcPr>
          <w:p>
            <w:pPr>
              <w:spacing w:after="0"/>
              <w:rPr>
                <w:sz w:val="20"/>
                <w:szCs w:val="20"/>
                <w:color w:val="auto"/>
              </w:rPr>
            </w:pPr>
          </w:p>
        </w:tc>
        <w:tc>
          <w:tcPr>
            <w:tcW w:w="2420" w:type="dxa"/>
            <w:vAlign w:val="bottom"/>
            <w:tcBorders>
              <w:bottom w:val="single" w:sz="8" w:color="auto"/>
            </w:tcBorders>
            <w:shd w:val="clear" w:color="auto" w:fill="DDDDDD"/>
          </w:tcPr>
          <w:p>
            <w:pPr>
              <w:ind w:left="98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80" w:type="dxa"/>
            <w:vAlign w:val="bottom"/>
            <w:tcBorders>
              <w:bottom w:val="single" w:sz="8" w:color="DDDDDD"/>
            </w:tcBorders>
            <w:shd w:val="clear" w:color="auto" w:fill="DDDDDD"/>
          </w:tcPr>
          <w:p>
            <w:pPr>
              <w:spacing w:after="0"/>
              <w:rPr>
                <w:sz w:val="20"/>
                <w:szCs w:val="20"/>
                <w:color w:val="auto"/>
              </w:rPr>
            </w:pPr>
          </w:p>
        </w:tc>
        <w:tc>
          <w:tcPr>
            <w:tcW w:w="212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Borders>
              <w:bottom w:val="single" w:sz="8" w:color="DDDDDD"/>
            </w:tcBorders>
            <w:shd w:val="clear" w:color="auto" w:fill="DDDDDD"/>
          </w:tcPr>
          <w:p>
            <w:pPr>
              <w:spacing w:after="0"/>
              <w:rPr>
                <w:sz w:val="20"/>
                <w:szCs w:val="20"/>
                <w:color w:val="auto"/>
              </w:rPr>
            </w:pPr>
          </w:p>
        </w:tc>
        <w:tc>
          <w:tcPr>
            <w:tcW w:w="284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r>
      <w:tr>
        <w:trPr>
          <w:trHeight w:val="191"/>
        </w:trPr>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Nancy E. Calderon</w:t>
            </w:r>
          </w:p>
        </w:tc>
        <w:tc>
          <w:tcPr>
            <w:tcW w:w="100" w:type="dxa"/>
            <w:vAlign w:val="bottom"/>
          </w:tcPr>
          <w:p>
            <w:pPr>
              <w:spacing w:after="0"/>
              <w:rPr>
                <w:sz w:val="16"/>
                <w:szCs w:val="16"/>
                <w:color w:val="auto"/>
              </w:rPr>
            </w:pPr>
          </w:p>
        </w:tc>
        <w:tc>
          <w:tcPr>
            <w:tcW w:w="2420" w:type="dxa"/>
            <w:vAlign w:val="bottom"/>
          </w:tcPr>
          <w:p>
            <w:pPr>
              <w:ind w:left="1000"/>
              <w:spacing w:after="0" w:line="191" w:lineRule="exact"/>
              <w:rPr>
                <w:sz w:val="20"/>
                <w:szCs w:val="20"/>
                <w:color w:val="auto"/>
              </w:rPr>
            </w:pPr>
            <w:r>
              <w:rPr>
                <w:rFonts w:ascii="Times New Roman" w:cs="Times New Roman" w:eastAsia="Times New Roman" w:hAnsi="Times New Roman"/>
                <w:sz w:val="18"/>
                <w:szCs w:val="18"/>
                <w:color w:val="auto"/>
              </w:rPr>
              <w:t>Chair</w:t>
            </w:r>
          </w:p>
        </w:tc>
        <w:tc>
          <w:tcPr>
            <w:tcW w:w="22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10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196"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7"/>
          <w:szCs w:val="17"/>
          <w:i w:val="1"/>
          <w:iCs w:val="1"/>
          <w:color w:val="auto"/>
        </w:rPr>
        <w:t>Responsibilities</w:t>
      </w:r>
      <w:r>
        <w:rPr>
          <w:rFonts w:ascii="Times New Roman" w:cs="Times New Roman" w:eastAsia="Times New Roman" w:hAnsi="Times New Roman"/>
          <w:sz w:val="17"/>
          <w:szCs w:val="17"/>
          <w:color w:val="auto"/>
        </w:rPr>
        <w:t>. The Audit Committee provides assistance to the Board of Directors in fulfilling its responsibilities for oversight, for quality and integrity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accounting, auditing, reporting practices, systems of internal accounting and financial controls, the annual independent audit of our financial statements, and the legal compliance and ethics programs of NTIC as established by management. The Audit Committee’s primary responsibilities include:</w:t>
      </w:r>
    </w:p>
    <w:p>
      <w:pPr>
        <w:spacing w:after="0" w:line="157" w:lineRule="exact"/>
        <w:rPr>
          <w:sz w:val="20"/>
          <w:szCs w:val="20"/>
          <w:color w:val="auto"/>
        </w:rPr>
      </w:pPr>
    </w:p>
    <w:p>
      <w:pPr>
        <w:ind w:left="980" w:right="2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reporting process, internal control over financial reporting and disclosure controls and procedures on behalf of the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ind w:left="980" w:right="80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sole authority to appoint, retain and oversee the work of our independent registered public accounting firm and establish the compensation to be paid to the firm;</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pre-approving all audit services and permissible non-audit services to be provided to NTIC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regarding accounting, internal accounting controls or auditing matters and for the confidential, anonymous submission by our employees of concerns regarding questionable accounting or auditing matters;</w:t>
      </w:r>
    </w:p>
    <w:p>
      <w:pPr>
        <w:spacing w:after="0" w:line="161" w:lineRule="exact"/>
        <w:rPr>
          <w:rFonts w:ascii="Times New Roman" w:cs="Times New Roman" w:eastAsia="Times New Roman" w:hAnsi="Times New Roman"/>
          <w:sz w:val="18"/>
          <w:szCs w:val="18"/>
          <w:color w:val="auto"/>
        </w:rPr>
      </w:pPr>
    </w:p>
    <w:p>
      <w:pPr>
        <w:ind w:left="980" w:right="440" w:hanging="324"/>
        <w:spacing w:after="0" w:line="312" w:lineRule="auto"/>
        <w:tabs>
          <w:tab w:leader="none" w:pos="9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establishment and administration of (including the grant of any waiver from) a written code of ethics applicable to our principal executive officer, principal financial officer, principal accounting officer or controller, or persons performing similar functions;</w:t>
      </w:r>
    </w:p>
    <w:p>
      <w:pPr>
        <w:spacing w:after="0" w:line="139" w:lineRule="exact"/>
        <w:rPr>
          <w:rFonts w:ascii="Times New Roman" w:cs="Times New Roman" w:eastAsia="Times New Roman" w:hAnsi="Times New Roman"/>
          <w:sz w:val="17"/>
          <w:szCs w:val="17"/>
          <w:color w:val="auto"/>
        </w:rPr>
      </w:pPr>
    </w:p>
    <w:p>
      <w:pPr>
        <w:ind w:left="9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periodic updates from senior management on NTIC’s policies, processes, procedures and any significant developments related to the identification, mitigation and remediation of cybersecurity risks and reviewing the cybersecurity disclosures required to be included in NTIC’s SEC filings;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Nominating and Corporate Governance Committee in that committee’s primary oversight over NTIC’s ESG activities.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Audit Committee has the authority to engage the services of outside experts and advisors as it deems necessary or appropriate to carry out its duties and responsibilities.</w:t>
      </w:r>
    </w:p>
    <w:p>
      <w:pPr>
        <w:spacing w:after="0" w:line="16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Composition</w:t>
      </w:r>
      <w:r>
        <w:rPr>
          <w:rFonts w:ascii="Times New Roman" w:cs="Times New Roman" w:eastAsia="Times New Roman" w:hAnsi="Times New Roman"/>
          <w:sz w:val="18"/>
          <w:szCs w:val="18"/>
          <w:color w:val="auto"/>
        </w:rPr>
        <w:t>. The current members of the Audit Committee are Ms. Calderon, Mr. Nigon, and Mr. von Falkenhausen. Ms. Calderon is the current Chair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Committee.</w:t>
      </w:r>
    </w:p>
    <w:p>
      <w:pPr>
        <w:spacing w:after="0" w:line="16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member of the Audit Committee who served during fiscal 2025 is considered “independent” for purposes of membership on audit committees pursuant to the Listing Rules of the Nasdaq Stock Market and the rules and regulations of the SEC and is “financially literate” as required by the Listing Rules of the Nasdaq Stock Market. In addition, the Board of Directors has determined that Ms. Calderon and Mr. Nigon qualify as “audit committee financial experts” as defined by the rules and regulations of the SEC and meet the qualifications of “financial sophistication” under the Listing Rules of the Nasdaq Stock Market as a result of their extensive financial backgrounds and various financial positions they have held throughout their respective careers. Stockholders should understand that these designations related to our Audit Committee members’ experience and understanding with respect to certain accounting and auditing matters do not impose upon any of them any duties, obligations or liabilities that are greater than those generally imposed on a member of the Audit Committee or of the Board of Directors.</w:t>
      </w:r>
    </w:p>
    <w:p>
      <w:pPr>
        <w:spacing w:after="0" w:line="190"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 The Audit Committee met four times during fiscal 2025 and at each meeting held an executive session with Baker Tilly, our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w:t>
      </w:r>
    </w:p>
    <w:p>
      <w:pPr>
        <w:spacing w:after="0" w:line="15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Audit Committee Report</w:t>
      </w:r>
      <w:r>
        <w:rPr>
          <w:rFonts w:ascii="Times New Roman" w:cs="Times New Roman" w:eastAsia="Times New Roman" w:hAnsi="Times New Roman"/>
          <w:sz w:val="18"/>
          <w:szCs w:val="18"/>
          <w:color w:val="auto"/>
        </w:rPr>
        <w:t>. This report is furnished by the Audit Committee of the Board of Directors with respect to NTIC’s financial statements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year ended August 31, 2025.</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One of the purposes of the Audit Committee is to oversee NTIC’s accounting and financial reporting processes and the audit of NTIC’s annual financial statements. NTIC’s management is responsible for the preparation and presentation of complete and accurate financial statements. NTIC’s independent registered public accounting firm, Baker Tilly US, LLP, is responsible for performing an independent audit of NTIC’s financial statements in accordance with the standards of the Public Company Accounting Oversight Board (United States) and for issuing a report on their audit.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right="40"/>
        <w:spacing w:after="0" w:line="273" w:lineRule="auto"/>
        <w:rPr>
          <w:sz w:val="20"/>
          <w:szCs w:val="20"/>
          <w:color w:val="auto"/>
        </w:rPr>
      </w:pPr>
      <w:r>
        <w:rPr>
          <w:rFonts w:ascii="Times New Roman" w:cs="Times New Roman" w:eastAsia="Times New Roman" w:hAnsi="Times New Roman"/>
          <w:sz w:val="17"/>
          <w:szCs w:val="17"/>
          <w:color w:val="auto"/>
        </w:rPr>
        <w:t>In performing its oversight role, the Audit Committee has reviewed and discussed NTIC’s audited financial statements for the fiscal year ended August 31, 2025, with NTIC’s management. Management represented to the Audit Committee that NTIC’s financial statements were prepared in accordance with generally accepted accounting principles. The Audit Committee has discussed with Baker Tilly US, LLP, NTIC’s independent registered public accounting firm, the matters required to be discussed under Public Company Accounting Oversight Board standards. The Audit Committee has received the written disclosures and the letter from Baker Tilly US, LLP required by applicable requirements of the Public Company Accounting Oversight Board regarding Baker Tilly US, LLP’s communications with the Audit Committee concerning independence. The Audit Committee has discussed with Baker Tilly US, LLP its independence and concluded that the independent registered public accounting firm is independent from NTIC and NTIC’s management.</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the review and discussions of the Audit Committee described above, in reliance on the unqualified opinion of Baker Tilly US, LLP regarding NTIC’s audited financial statements, and subject to the limitations on the role and responsibilities of the Audit Committee discussed above and in the Audit Committee’s charter, the Audit Committee recommended to the Board of Directors that NTIC’s audited financial statements for the fiscal year ended August 31, 2025 be included in its Annual Report on Form 10-K for the fiscal year ended August 31, 2025 for filing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is dated as of November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E. Calderon,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J. Nigon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Konstantin von Falkenhausen</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Other Information</w:t>
      </w:r>
      <w:r>
        <w:rPr>
          <w:rFonts w:ascii="Times New Roman" w:cs="Times New Roman" w:eastAsia="Times New Roman" w:hAnsi="Times New Roman"/>
          <w:sz w:val="18"/>
          <w:szCs w:val="18"/>
          <w:color w:val="auto"/>
        </w:rPr>
        <w:t>. Additional information regarding the Audit Committee and our independent registered public accounting firm is disclosed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Four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Ratification of Appointment of Independent Registered Public Accounting Firm</w:t>
      </w:r>
      <w:r>
        <w:rPr>
          <w:rFonts w:ascii="Times New Roman" w:cs="Times New Roman" w:eastAsia="Times New Roman" w:hAnsi="Times New Roman"/>
          <w:sz w:val="18"/>
          <w:szCs w:val="18"/>
          <w:color w:val="auto"/>
        </w:rPr>
        <w:t>” section of this proxy statement.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 The Compensation Committee provides assistance to the Board of Directors in fulfilling its oversight responsibility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Chief Executive Officer and other executive officers and administers our equity compensation plans. The Compensation Committee’s primary responsibilities include:</w:t>
      </w:r>
    </w:p>
    <w:p>
      <w:pPr>
        <w:spacing w:after="0" w:line="175" w:lineRule="exact"/>
        <w:rPr>
          <w:sz w:val="20"/>
          <w:szCs w:val="20"/>
          <w:color w:val="auto"/>
        </w:rPr>
      </w:pPr>
    </w:p>
    <w:p>
      <w:pPr>
        <w:ind w:left="980" w:right="16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for its determination the annual salaries, incentive compensation, long-term compensation and any and all other compensation applicable to our executive officers;</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from time to time, reviewing and revising corporate goals and objectives with respect to compensation for our executive officers and establishing and leading a process for the full Board of Directors to evaluate the performance of our executive officers in light of those goals and objectives;</w:t>
      </w:r>
    </w:p>
    <w:p>
      <w:pPr>
        <w:spacing w:after="0" w:line="17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and recommending to the Board of Directors for its determination grants of options or other equity-based awards for executive officers, employees and independent consultants under our equity compensation plans;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with respect to employee benefit plans;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 w:name="page43"/>
    <w:bookmarkEnd w:id="42"/>
    <w:p>
      <w:pPr>
        <w:ind w:left="980" w:right="3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from time to time, reviewing and revising processes and procedures for the consideration and determination of executive compensation;</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periodically reviewing NTIC’s culture and policies and strategies related to human capital management and reviewing the human capital management disclosures included in NTIC’s annual reports on Form 10-K;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with the Nominating and Corporate Governance Committee in that committee’s primary oversight over NTIC’s ESG activities.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engage the services of outside experts and advisors as it deems necessary or appropriate to carry out its duties and responsibilities, and prior to doing so, assesses the independence of such experts and advisors from management.</w:t>
      </w:r>
    </w:p>
    <w:p>
      <w:pPr>
        <w:spacing w:after="0" w:line="16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Composition</w:t>
      </w:r>
      <w:r>
        <w:rPr>
          <w:rFonts w:ascii="Times New Roman" w:cs="Times New Roman" w:eastAsia="Times New Roman" w:hAnsi="Times New Roman"/>
          <w:sz w:val="18"/>
          <w:szCs w:val="18"/>
          <w:color w:val="auto"/>
        </w:rPr>
        <w:t>. The current members of the Compensation Committee are Ms. Kemp, Dr. Lee and Mr. Nigon. Ms. Kemp is the current Chair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During fiscal 2025 until November 2024, Mr. von Falkenhausen served as Chair of the Compensation Committee.</w:t>
      </w:r>
    </w:p>
    <w:p>
      <w:pPr>
        <w:spacing w:after="0" w:line="1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of the members of the Compensation Committee who served during fiscal 2025 is an “independent director” under the Listing Rules of the Nasdaq Stock Market, a “non-employee director” within the meaning of Rule 16b-3 under the Exchange Act, and otherwise independent under the rules and regulations of the SEC.</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Processes and Procedures for Consideration and Determination of Executive Compensation</w:t>
      </w:r>
      <w:r>
        <w:rPr>
          <w:rFonts w:ascii="Times New Roman" w:cs="Times New Roman" w:eastAsia="Times New Roman" w:hAnsi="Times New Roman"/>
          <w:sz w:val="18"/>
          <w:szCs w:val="18"/>
          <w:color w:val="auto"/>
        </w:rPr>
        <w:t>. As described in more detail above under “—</w:t>
      </w: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has delegated to the Compensation Committee the responsibility, among other things, to recommend to the Board of Directors any and all compensation payable to our executive officers, including annual salaries, incentive compensation and long-term incentive compensation, and to administer our equity and incentive compensation plans applicable to our executive officers. Decisions regarding executive compensation made by the Compensation Committee are not considered final and are subject to final review and approval by the entire Board of Directors. Under the terms of its formal written charter, the Compensation Committee has the power and authority, to the extent permitted by our Bylaws and applicable law, to delegate all or a portion of its duties and responsibilities to a subcommittee of the Compensation Committee. The Compensation Committee has not generally delegated any of its duties and responsibilities to subcommittees, but rather has taken such actions as a committee, as a whole.</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President and Chief Executive Officer and our Chief Financial Officer assist the Compensation Committee in gathering compensation related data regarding our executive officers and making recommendations to the Compensation Committee regarding the form and amount of compensation to be paid to each executive officer. In making final recommendations to the Board of Directors regarding compensation to be paid to our executive officers, the Compensation Committee considers the recommendations of our President and Chief Executive Officer and our Chief Financial Officer, but also considers other factors, such as its own views as to the form and amount of compensation to be paid, the achievement by NTIC of pre-established performance objectives, the general performance of NTIC and the individual officers, the performance of NTIC’s stock price and other factors that may be relevant.</w:t>
      </w:r>
    </w:p>
    <w:p>
      <w:pPr>
        <w:spacing w:after="0" w:line="18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Final deliberations and decisions by the Compensation Committee regarding its recommendations to the Board of Directors of the form and amount of compensation to be paid to our executive officers are made by the Compensation Committee, without the presence of any executive officer of NTIC. In making final decisions regarding compensation to be paid to our executive officers, the Board of Directors considers the same factors and gives considerable weight to the recommendations of the Compensation Committee.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 The Compensation Committee met three times during fiscal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 The primary responsibilities of the Nominating and Corporate Governance Committee include:</w:t>
      </w:r>
    </w:p>
    <w:p>
      <w:pPr>
        <w:spacing w:after="0" w:line="227"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 nominees for each annual meeting of our stockholders and director nominees to fill any vacancies that may occur between meetings of stockholders;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director retirement age, tenure and refreshment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aware of best practices in corporate governance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an annual Board of Directors and Board committee evaluation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leading a process for determination of the compensation applicable to the non-employee directors on the Board;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NTIC’s ESG activities and coordinating with and soliciting input from the Compensation Committee and the Audit Committee in formulating the approach to NTIC’s ESG activities.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the authority to engage the services of outside experts and advisors as it deems necessary or appropriate to carry out its duties and responsibilities.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w:t>
      </w:r>
      <w:r>
        <w:rPr>
          <w:rFonts w:ascii="Times New Roman" w:cs="Times New Roman" w:eastAsia="Times New Roman" w:hAnsi="Times New Roman"/>
          <w:sz w:val="18"/>
          <w:szCs w:val="18"/>
          <w:color w:val="auto"/>
        </w:rPr>
        <w:t>. The current members of the Nominating and Corporate Governance Committee are Mr. von Falkenhausen, Ms. Calderon, Mr. Nigon and 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Pinho. Mr. von Falkenhausen is the current chair of the Nominating and Corporate Governance Committee. During fiscal 2025 until November 2024, 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Kemp served as Chair of the Nominating and Corporate Governance Committee.</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the members of the Nominating and Corporate Governance Committee who served during fiscal 2025 is an “independent director” under the Listing Rules of the Nasdaq Stock Market.</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Processes and Procedures for Consideration and Determination of Director Compensation</w:t>
      </w:r>
      <w:r>
        <w:rPr>
          <w:rFonts w:ascii="Times New Roman" w:cs="Times New Roman" w:eastAsia="Times New Roman" w:hAnsi="Times New Roman"/>
          <w:sz w:val="18"/>
          <w:szCs w:val="18"/>
          <w:color w:val="auto"/>
        </w:rPr>
        <w:t>. As mentioned above under “—</w:t>
      </w: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delegated to the Nominating and Corporate Governance Committee the responsibility, among other things, to review and make recommendations to the Board of Directors concerning compensation for non-employee members of the Board of Directors, including but not limited to retainers, meeting fees, committee chair and member retainers and equity compensation. Decisions regarding director compensation made by the Nominating and Corporate Governance Committee are not considered final and are subject to final review and approval by the entire Board of Directors. Under the terms of its formal written charter, the Nominating and Corporate Governance Committee has the power and authority, to the extent permitted by our Bylaws and applicable law, to delegate all or a portion of its duties and responsibilities to a subcommittee of the Nominating and Corporate Governance Committee. The Nominating and Corporate Governance Committee has not generally delegated any of its duties and responsibilities to subcommittees, but rather has taken such actions as a committee, as a whole.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4" w:name="page45"/>
    <w:bookmarkEnd w:id="44"/>
    <w:p>
      <w:pPr>
        <w:ind w:right="280"/>
        <w:spacing w:after="0" w:line="281" w:lineRule="auto"/>
        <w:rPr>
          <w:sz w:val="20"/>
          <w:szCs w:val="20"/>
          <w:color w:val="auto"/>
        </w:rPr>
      </w:pPr>
      <w:r>
        <w:rPr>
          <w:rFonts w:ascii="Times New Roman" w:cs="Times New Roman" w:eastAsia="Times New Roman" w:hAnsi="Times New Roman"/>
          <w:sz w:val="17"/>
          <w:szCs w:val="17"/>
          <w:color w:val="auto"/>
        </w:rPr>
        <w:t>In making recommendations to the Board of Directors regarding compensation to be paid to our non-employee directors, the Nominating and Corporate Governance Committee considers fees and other compensation paid to directors of comparable public companies, the number of board and committee meetings that our directors are expected to attend, and other factors that may be relevant. In making final decisions regarding non-employee director compensation, the Board of Directors considers the same factors and the recommendation of the Nominating and Corporate Governance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 The Nominating and Corporate Governance Committee met three times during fiscal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Process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a Director Nominations Process adopted by the Board of Directors, in selecting nominees for the Board of Directors, the Nominating and Corporate Governance Committee first determines whether the incumbent directors are qualified to serve, and wish to continue to serve, on the Board. The Nominating and Corporate Governance Committee believes that NTIC and its stockholders benefit from the continued service of qualified incumbent directors because those directors have familiarity with and insight into NTIC’s affairs that they have accumulated during their tenure with NTIC. Appropriate continuity of Board membership also contributes to the Board’s ability to work as a collective body. Accordingly, it is the practice of the Nominating and Corporate Governance Committee, in general, to re-nominate an incumbent director if the director wishes to continue his or her service with the Board, the director continues to satisfy the criteria for membership on the Board that the Nominating and Corporate Governance Committee generally views as relevant and considers in deciding whether to re-nominate an incumbent director or nominate a new director, the Nominating and Corporate Governance Committee believes the director continues to make important contributions to the Board, and there are no special, countervailing considerations against re-nomination of the director.</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a Director Nominations Process adopted by the Board of Directors, in identifying and evaluating new candidates for election to the Board, the Nominating and Corporate Governance Committee solicits recommendations for nominees from persons whom the Nominating and Corporate Governance Committee believes are likely to be familiar with qualified candidates having the qualifications, skills and characteristics required for Board nominees from time to time. Such persons may include members of the Board of Directors and our senior management and advisors to NTIC. In addition, from time to time, if appropriate, the Nominating and Corporate Governance Committee may engage a search firm to assist it in identifying and evaluating qualified candidates.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reviews and evaluates each candidate whom it believes merits serious consideration, taking into account available information concerning the candidate, any qualifications or criteria for Board membership established by the Nominating and Corporate Governance Committee, the existing composition of the Board, and other factors that it deems relevant. In conducting its review and evaluation, the Nominating and Corporate Governance Committee solicits the views of our management, other Board members, and other individuals it believes may have insight into a candidate. The Nominating and Corporate Governance Committee may designate one or more of its members and/or other Board members to interview any proposed candidate.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recommendations for the nomination of directors submitted by our stockholders. For more information, see the information set forth under “</w:t>
      </w:r>
      <w:r>
        <w:rPr>
          <w:rFonts w:ascii="Times New Roman" w:cs="Times New Roman" w:eastAsia="Times New Roman" w:hAnsi="Times New Roman"/>
          <w:sz w:val="18"/>
          <w:szCs w:val="18"/>
          <w:i w:val="1"/>
          <w:iCs w:val="1"/>
          <w:color w:val="auto"/>
        </w:rPr>
        <w:t>Stockholder Proposals and Director Nominations for the 2027 Annual Meeting of Stockholders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Director Nominations for 2027 Annual Meeting</w:t>
      </w:r>
      <w:r>
        <w:rPr>
          <w:rFonts w:ascii="Times New Roman" w:cs="Times New Roman" w:eastAsia="Times New Roman" w:hAnsi="Times New Roman"/>
          <w:sz w:val="18"/>
          <w:szCs w:val="18"/>
          <w:color w:val="auto"/>
        </w:rPr>
        <w:t>.” The Nominating and Corporate Governance Committee will evaluate candidates recommended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 the same manner as those recommended as stated above.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 w:name="page46"/>
    <w:bookmarkEnd w:id="45"/>
    <w:p>
      <w:pPr>
        <w:ind w:right="20"/>
        <w:spacing w:after="0" w:line="252" w:lineRule="auto"/>
        <w:rPr>
          <w:sz w:val="20"/>
          <w:szCs w:val="20"/>
          <w:color w:val="auto"/>
        </w:rPr>
      </w:pPr>
      <w:r>
        <w:rPr>
          <w:rFonts w:ascii="Times New Roman" w:cs="Times New Roman" w:eastAsia="Times New Roman" w:hAnsi="Times New Roman"/>
          <w:sz w:val="18"/>
          <w:szCs w:val="18"/>
          <w:color w:val="auto"/>
        </w:rPr>
        <w:t>There are no formal requirements or minimum qualifications that a candidate must meet in order for the Nominating and Corporate Governance Committee to recommend the candidate to the Board. The Nominating and Corporate Governance Committee believes that each nominee should be evaluated based on his or her merits as an individual, taking into account the needs of NTIC and the Board of Directors. However, in evaluating candidates, there are a number of criteria that the Nominating and Corporate Governance Committee generally views as relevant and is likely to consider. Some of these factors include whether the candidate is an “independent director” under the Listing Rules of the Nasdaq Stock Market and meets any other applicable independence tests under the federal securities laws and rules and regulations of the SEC; whether the candidate is “financially literate” and otherwise meets the requirements for serving as a member of an audit committee under the Listing Rules of the Nasdaq Stock Market; whether the candidate is “financially sophisticated” under the Listing Rules of the Nasdaq Stock Market and an “audit committee financial expert” under the federal securities laws and the rules and regulations of the SEC; the needs of NTIC with respect to the particular talents and experience of its directors; the personal and professional integrity and reputation of the candidate; the candidate’s level of education and business experience; the candidate’s broad-based business acumen; the candidate’s level of understanding of our business and its industry; the candidate’s ability and willingness to devote adequate time to the work of the Board of Directors and its committees; the fit of the candidate’s skills and personality with those of other directors and potential directors in building a board that is effective, collegial and responsive to the needs of NTIC; whether the candidate possesses strategic thinking and a willingness to share ideas; the candidate’s diversity of experiences, expertise, background and other attributes; and the candidate’s ability to represent the interests of all stockholders and not a particular interest group.</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do not have a formal stand-alone diversity policy in considering whether to recommend any director nominee, including candidates recommended by stockholders, and the Board of Directors has not adopted a formal definition of diversity, the Board’s diversity is a consideration in the director nomination process. As discussed above, the Nominating and Corporate Governance Committee considers the factors described above, including the candidate’s diversity of experiences, expertise, background and other attributes. The Nominating and Corporate Governance Committee seeks nominees with a broad diversity of experience, expertise, backgrounds and other attributes. The Nominating and Corporate Governance Committee does not assign specific weights to particular criteria and no particular criterion is necessarily applicable to all prospective nominees. The Board of Directors believes that the backgrounds and qualifications of directors, considered as a group, should provide a significant mix of experience, knowledge and abilities that will allow the Board of Directors to fulfill its responsibilities.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this year’s election of directors, the Board of Directors has nominated eight individuals, all of whom are current directors. Collectively, these directors bring tremendous diversity to the Board. Each director is a strategic thinker and has varying, specialized experience in the areas relevant to NTIC and its businesses. Moreover, their collective experience covers a wide range of geographies and industries, and roles in academia, corporate governance and government. The eight directors range in age from 58 to 77; three of the eight directors are women; two are of Asian descent; one is of African descent; one is a citizen of Brazil, one is a citizen of the Republic of Korea and one is a citizen of Germany.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of Directors as a whole has responsibility for risk oversight, with more in-depth reviews of certain areas of risk being conducted by the relevant Board committees that report on their deliberations to the full Board of Directors. The oversight responsibility of the Board and its committees is enabled by management reporting processes that are designed to provide information to the Board about the identification, assessment and management of critical risks and management’s risk mitigation strategies. The areas of risk that we focus on include operational, financial (accounting, credit, liquidity and tax), legal, compensation, competitive, cybersecurity, health, safety, environmental, economic, political and reputational risks.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right="80"/>
        <w:spacing w:after="0" w:line="255" w:lineRule="auto"/>
        <w:rPr>
          <w:sz w:val="20"/>
          <w:szCs w:val="20"/>
          <w:color w:val="auto"/>
        </w:rPr>
      </w:pPr>
      <w:r>
        <w:rPr>
          <w:rFonts w:ascii="Times New Roman" w:cs="Times New Roman" w:eastAsia="Times New Roman" w:hAnsi="Times New Roman"/>
          <w:sz w:val="18"/>
          <w:szCs w:val="18"/>
          <w:color w:val="auto"/>
        </w:rPr>
        <w:t>The standing committees of the Board of Directors oversee risks associated with their respective principal areas of focus. The Audit Committee’s role includes a particular focus on the qualitative aspects of financial reporting, on our processes for the management of business and financial risk, our financial reporting obligations and for compliance with significant applicable legal, ethical and regulatory requirements. The Audit Committee, along with management, is also responsible for developing and participating in a process for review of important financial and operating topics that present potential significant risk to NTIC. The Compensation Committee is responsible for overseeing risks and exposures associated with our executive compensation programs and arrangements. The Nominating and Corporate Governance Committee oversees risks relating to our corporate governance matters, director compensation programs and director succession planning.</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recognize that a fundamental part of risk management is understanding not only the risks a company faces and what steps management is taking to manage those risks, but also understanding what level of risk is appropriate for NTIC. The involvement of the full Board of Directors each year in establishing our key corporate business strategies and annual fiscal budget is a key part of the Board of Directors’ assessment of management’s appetite for risk and also a determination of what constitutes an appropriate level of risk for NTIC.</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our current Board leadership structure is appropriate and helps ensure proper risk oversight for NTIC for a number of reasons, including: (1) general risk oversight by the full Board of Directors in connection with its role in reviewing our key business strategies and monitoring on an on-going basis the implementation of our key business strategies; (2) more detailed oversight by our standing Board committees that are currently comprised of and chaired by our independent directors, and (3) the focus of our Chairman of the Board on allocating appropriate Board agenda time for discussion regarding the implementation of our key business strategies and specifically risk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Strategy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oversees our strategic direction and business activities. Throughout the year, the Board and management discuss our short and long-term business strategy. As part of our long-term strategy, management typically formulates three-year financial targets against which performance is reviewed by the Board. With respect to our short-term strategy, at the beginning of each fiscal year, our management presents to the Board a proposed annual business plan for the year and receives input from the Board and a final annual business plan is approved by the Board. At each subsequent regular board meeting, the Board reviews our operating and financial performance relative to the annual business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Board Committee Evaluations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Board of Directors recognizes that a thorough evaluation process is an important element of corporate governance and enhances the effectiveness of the full Board and each committee. Therefore, it is our practice to conduct annual Board and committee self-evaluations. Each year, the Nominating and Corporate Governance Committee oversees the evaluation process to ensure that the full Board and each committee conduct an assessment of their performance and solicit feedback for areas of improvement. Evaluations include a variety of survey questions to which directors assign a score and open ended questions and oral interviews. The evaluation results are then aggregated and shared with and discussed by the full Board and each committee.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Ethics, which applies to all of our directors, executive officers, including our Chief Executive Officer and Chief Financial Officer, and other employees, and meets the requirements of the SEC and the Nasdaq Stock Market. Our Code of Ethics is available on the “Investor Relations—Corporate Governance” section of our corporate website </w:t>
      </w:r>
      <w:r>
        <w:rPr>
          <w:rFonts w:ascii="Times New Roman" w:cs="Times New Roman" w:eastAsia="Times New Roman" w:hAnsi="Times New Roman"/>
          <w:sz w:val="18"/>
          <w:szCs w:val="18"/>
          <w:i w:val="1"/>
          <w:iCs w:val="1"/>
          <w:color w:val="auto"/>
        </w:rPr>
        <w:t>www.ntic.com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Political Contributions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made no political contributions during fiscal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Regarding Director Attendance at Annual Meetings of Stockholders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Although a regular Board of Directors meeting is generally held on the day of each annual meeting of stockholders, this meeting is typically held by video conference. It is the policy of the Board of Directors that if a regular in-person Board of Directors meeting occurs on the day of the annual meeting of stockholders, directors standing for re-election should attend the annual meeting of stockholders, if their schedules permit. Since a video conference Board meeting was held on the day of last year’s annual meeting of stockholders, the only directors who attended the meeting were Mr. Nigon and Mr. Lynch.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Complaint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procedures for the receipt, retention and treatment of complaints received by NTIC regarding accounting, internal accounting controls or auditing matters, and the submission by our employees, on a confidential and anonymous basis, of concerns regarding questionable accounting or auditing matters. We encourage our personnel with such concerns to discuss their concerns with our outside legal counsel, who in turn will be responsible for informing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committed to a robust and proactive stockholder engagement program. The Board of Directors values the perspectives of our stockholders, and feedback from stockholders on our business, corporate governance, executive compensation, and sustainability practices are important considerations for Board discussions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actions we have taken in response to feedback from proxy advisory firms and stockholders over the last several years are described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What We Heard</w:t>
            </w:r>
          </w:p>
        </w:tc>
        <w:tc>
          <w:tcPr>
            <w:tcW w:w="6880" w:type="dxa"/>
            <w:vAlign w:val="bottom"/>
            <w:tcBorders>
              <w:bottom w:val="single" w:sz="8" w:color="auto"/>
            </w:tcBorders>
            <w:shd w:val="clear" w:color="auto" w:fill="DDDDDD"/>
          </w:tcPr>
          <w:p>
            <w:pPr>
              <w:ind w:left="500"/>
              <w:spacing w:after="0"/>
              <w:rPr>
                <w:sz w:val="20"/>
                <w:szCs w:val="20"/>
                <w:color w:val="auto"/>
              </w:rPr>
            </w:pPr>
            <w:r>
              <w:rPr>
                <w:rFonts w:ascii="Times New Roman" w:cs="Times New Roman" w:eastAsia="Times New Roman" w:hAnsi="Times New Roman"/>
                <w:sz w:val="18"/>
                <w:szCs w:val="18"/>
                <w:b w:val="1"/>
                <w:bCs w:val="1"/>
                <w:color w:val="auto"/>
              </w:rPr>
              <w:t>What We Did</w:t>
            </w:r>
          </w:p>
        </w:tc>
      </w:tr>
      <w:tr>
        <w:trPr>
          <w:trHeight w:val="191"/>
        </w:trPr>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Encourage Board refreshment</w:t>
            </w:r>
          </w:p>
        </w:tc>
        <w:tc>
          <w:tcPr>
            <w:tcW w:w="688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We added Cristina Pinho to our Board in January 2023 and rotated our Compensation</w:t>
            </w:r>
          </w:p>
        </w:tc>
      </w:tr>
      <w:tr>
        <w:trPr>
          <w:trHeight w:val="216"/>
        </w:trPr>
        <w:tc>
          <w:tcPr>
            <w:tcW w:w="4360" w:type="dxa"/>
            <w:vAlign w:val="bottom"/>
          </w:tcPr>
          <w:p>
            <w:pPr>
              <w:spacing w:after="0"/>
              <w:rPr>
                <w:sz w:val="18"/>
                <w:szCs w:val="18"/>
                <w:color w:val="auto"/>
              </w:rPr>
            </w:pPr>
          </w:p>
        </w:tc>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Committee and Nominating and Corporate Governance Committee Chairs in November</w:t>
            </w:r>
          </w:p>
        </w:tc>
      </w:tr>
      <w:tr>
        <w:trPr>
          <w:trHeight w:val="234"/>
        </w:trPr>
        <w:tc>
          <w:tcPr>
            <w:tcW w:w="4360" w:type="dxa"/>
            <w:vAlign w:val="bottom"/>
          </w:tcPr>
          <w:p>
            <w:pPr>
              <w:spacing w:after="0"/>
              <w:rPr>
                <w:sz w:val="20"/>
                <w:szCs w:val="20"/>
                <w:color w:val="auto"/>
              </w:rPr>
            </w:pPr>
          </w:p>
        </w:tc>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436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r>
      <w:tr>
        <w:trPr>
          <w:trHeight w:val="191"/>
        </w:trPr>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Increase stockholder influence over director elections</w:t>
            </w:r>
          </w:p>
        </w:tc>
        <w:tc>
          <w:tcPr>
            <w:tcW w:w="688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We adopted a “plurality plus” vote standard for uncontested director elections, with a</w:t>
            </w:r>
          </w:p>
        </w:tc>
      </w:tr>
      <w:tr>
        <w:trPr>
          <w:trHeight w:val="234"/>
        </w:trPr>
        <w:tc>
          <w:tcPr>
            <w:tcW w:w="4360" w:type="dxa"/>
            <w:vAlign w:val="bottom"/>
          </w:tcPr>
          <w:p>
            <w:pPr>
              <w:spacing w:after="0"/>
              <w:rPr>
                <w:sz w:val="20"/>
                <w:szCs w:val="20"/>
                <w:color w:val="auto"/>
              </w:rPr>
            </w:pPr>
          </w:p>
        </w:tc>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resignation policy, instead of a simple plurality vote standard.</w:t>
            </w:r>
          </w:p>
        </w:tc>
      </w:tr>
      <w:tr>
        <w:trPr>
          <w:trHeight w:val="216"/>
        </w:trPr>
        <w:tc>
          <w:tcPr>
            <w:tcW w:w="436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r>
      <w:tr>
        <w:trPr>
          <w:trHeight w:val="191"/>
        </w:trPr>
        <w:tc>
          <w:tcPr>
            <w:tcW w:w="4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Align long-term incentives</w:t>
            </w:r>
          </w:p>
        </w:tc>
        <w:tc>
          <w:tcPr>
            <w:tcW w:w="688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We extended the vesting of our annual stock option grants to three-year vesting in</w:t>
            </w:r>
          </w:p>
        </w:tc>
      </w:tr>
      <w:tr>
        <w:trPr>
          <w:trHeight w:val="234"/>
        </w:trPr>
        <w:tc>
          <w:tcPr>
            <w:tcW w:w="4360" w:type="dxa"/>
            <w:vAlign w:val="bottom"/>
          </w:tcPr>
          <w:p>
            <w:pPr>
              <w:spacing w:after="0"/>
              <w:rPr>
                <w:sz w:val="20"/>
                <w:szCs w:val="20"/>
                <w:color w:val="auto"/>
              </w:rPr>
            </w:pPr>
          </w:p>
        </w:tc>
        <w:tc>
          <w:tcPr>
            <w:tcW w:w="6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response to a concern raised by one of our institutional stockholders.</w:t>
            </w:r>
          </w:p>
        </w:tc>
      </w:tr>
      <w:tr>
        <w:trPr>
          <w:trHeight w:val="432"/>
        </w:trPr>
        <w:tc>
          <w:tcPr>
            <w:tcW w:w="4360" w:type="dxa"/>
            <w:vAlign w:val="bottom"/>
          </w:tcPr>
          <w:p>
            <w:pPr>
              <w:spacing w:after="0"/>
              <w:rPr>
                <w:sz w:val="24"/>
                <w:szCs w:val="24"/>
                <w:color w:val="auto"/>
              </w:rPr>
            </w:pPr>
          </w:p>
        </w:tc>
        <w:tc>
          <w:tcPr>
            <w:tcW w:w="68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45</w:t>
            </w:r>
          </w:p>
        </w:tc>
      </w:tr>
      <w:tr>
        <w:trPr>
          <w:trHeight w:val="115"/>
        </w:trPr>
        <w:tc>
          <w:tcPr>
            <w:tcW w:w="4360" w:type="dxa"/>
            <w:vAlign w:val="bottom"/>
            <w:tcBorders>
              <w:bottom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What We Heard</w:t>
            </w:r>
          </w:p>
        </w:tc>
        <w:tc>
          <w:tcPr>
            <w:tcW w:w="7500" w:type="dxa"/>
            <w:vAlign w:val="bottom"/>
            <w:tcBorders>
              <w:bottom w:val="single" w:sz="8" w:color="auto"/>
            </w:tcBorders>
            <w:shd w:val="clear" w:color="auto" w:fill="DDDDDD"/>
          </w:tcPr>
          <w:p>
            <w:pPr>
              <w:ind w:left="1120"/>
              <w:spacing w:after="0"/>
              <w:rPr>
                <w:sz w:val="20"/>
                <w:szCs w:val="20"/>
                <w:color w:val="auto"/>
              </w:rPr>
            </w:pPr>
            <w:r>
              <w:rPr>
                <w:rFonts w:ascii="Times New Roman" w:cs="Times New Roman" w:eastAsia="Times New Roman" w:hAnsi="Times New Roman"/>
                <w:sz w:val="18"/>
                <w:szCs w:val="18"/>
                <w:b w:val="1"/>
                <w:bCs w:val="1"/>
                <w:color w:val="auto"/>
              </w:rPr>
              <w:t>What We Did</w:t>
            </w: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Increase visibility of ESG principles</w:t>
            </w:r>
          </w:p>
        </w:tc>
        <w:tc>
          <w:tcPr>
            <w:tcW w:w="7500" w:type="dxa"/>
            <w:vAlign w:val="bottom"/>
          </w:tcPr>
          <w:p>
            <w:pPr>
              <w:ind w:left="1120"/>
              <w:spacing w:after="0" w:line="191" w:lineRule="exact"/>
              <w:rPr>
                <w:sz w:val="20"/>
                <w:szCs w:val="20"/>
                <w:color w:val="auto"/>
              </w:rPr>
            </w:pPr>
            <w:r>
              <w:rPr>
                <w:rFonts w:ascii="Times New Roman" w:cs="Times New Roman" w:eastAsia="Times New Roman" w:hAnsi="Times New Roman"/>
                <w:sz w:val="18"/>
                <w:szCs w:val="18"/>
                <w:color w:val="auto"/>
              </w:rPr>
              <w:t>We adopted a Health, Safety and Environment Policy and Human Rights Policy to</w:t>
            </w:r>
          </w:p>
        </w:tc>
      </w:tr>
      <w:tr>
        <w:trPr>
          <w:trHeight w:val="216"/>
        </w:trPr>
        <w:tc>
          <w:tcPr>
            <w:tcW w:w="3740" w:type="dxa"/>
            <w:vAlign w:val="bottom"/>
          </w:tcPr>
          <w:p>
            <w:pPr>
              <w:spacing w:after="0"/>
              <w:rPr>
                <w:sz w:val="18"/>
                <w:szCs w:val="18"/>
                <w:color w:val="auto"/>
              </w:rPr>
            </w:pPr>
          </w:p>
        </w:tc>
        <w:tc>
          <w:tcPr>
            <w:tcW w:w="7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formalize our approach and further our goals with respect to these matters. We also</w:t>
            </w:r>
          </w:p>
        </w:tc>
      </w:tr>
      <w:tr>
        <w:trPr>
          <w:trHeight w:val="216"/>
        </w:trPr>
        <w:tc>
          <w:tcPr>
            <w:tcW w:w="3740" w:type="dxa"/>
            <w:vAlign w:val="bottom"/>
          </w:tcPr>
          <w:p>
            <w:pPr>
              <w:spacing w:after="0"/>
              <w:rPr>
                <w:sz w:val="18"/>
                <w:szCs w:val="18"/>
                <w:color w:val="auto"/>
              </w:rPr>
            </w:pPr>
          </w:p>
        </w:tc>
        <w:tc>
          <w:tcPr>
            <w:tcW w:w="7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added an ESG section to our investor relations website to increase visibility of our ESG</w:t>
            </w:r>
          </w:p>
        </w:tc>
      </w:tr>
      <w:tr>
        <w:trPr>
          <w:trHeight w:val="234"/>
        </w:trPr>
        <w:tc>
          <w:tcPr>
            <w:tcW w:w="3740" w:type="dxa"/>
            <w:vAlign w:val="bottom"/>
          </w:tcPr>
          <w:p>
            <w:pPr>
              <w:spacing w:after="0"/>
              <w:rPr>
                <w:sz w:val="20"/>
                <w:szCs w:val="20"/>
                <w:color w:val="auto"/>
              </w:rPr>
            </w:pPr>
          </w:p>
        </w:tc>
        <w:tc>
          <w:tcPr>
            <w:tcW w:w="7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efforts.</w:t>
            </w:r>
          </w:p>
        </w:tc>
      </w:tr>
    </w:tbl>
    <w:p>
      <w:pPr>
        <w:spacing w:after="0" w:line="200" w:lineRule="exact"/>
        <w:rPr>
          <w:sz w:val="20"/>
          <w:szCs w:val="20"/>
          <w:color w:val="auto"/>
        </w:rPr>
      </w:pPr>
    </w:p>
    <w:p>
      <w:pPr>
        <w:sectPr>
          <w:pgSz w:w="11900" w:h="16838" w:orient="portrait"/>
          <w:cols w:equalWidth="0" w:num="1">
            <w:col w:w="11240"/>
          </w:cols>
          <w:pgMar w:left="320" w:top="599" w:right="339" w:bottom="1440" w:gutter="0" w:footer="0" w:header="0"/>
        </w:sectPr>
      </w:pPr>
    </w:p>
    <w:p>
      <w:pPr>
        <w:spacing w:after="0" w:line="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Ensure the recovery of incentive compensation based on incorrect calculations or egregious behavior</w:t>
      </w:r>
    </w:p>
    <w:p>
      <w:pPr>
        <w:spacing w:after="0" w:line="20" w:lineRule="exact"/>
        <w:rPr>
          <w:sz w:val="20"/>
          <w:szCs w:val="20"/>
          <w:color w:val="auto"/>
        </w:rPr>
      </w:pPr>
      <w:r>
        <w:rPr>
          <w:sz w:val="20"/>
          <w:szCs w:val="20"/>
          <w:color w:val="auto"/>
        </w:rPr>
        <w:br w:type="column"/>
      </w:r>
    </w:p>
    <w:p>
      <w:pPr>
        <w:ind w:right="340"/>
        <w:spacing w:after="0" w:line="261" w:lineRule="auto"/>
        <w:rPr>
          <w:sz w:val="20"/>
          <w:szCs w:val="20"/>
          <w:color w:val="auto"/>
        </w:rPr>
      </w:pPr>
      <w:r>
        <w:rPr>
          <w:rFonts w:ascii="Times New Roman" w:cs="Times New Roman" w:eastAsia="Times New Roman" w:hAnsi="Times New Roman"/>
          <w:sz w:val="18"/>
          <w:szCs w:val="18"/>
          <w:color w:val="auto"/>
        </w:rPr>
        <w:t>We adopted a robust, Nasdaq-compliant clawback policy which applies not only to financial restatements, but also if a financial metric used to determine the vesting or payment of compensation was calculated incorrectly or if an executive engages in egregious conduct that is substantially detrimental to 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-568325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4760" w:space="100"/>
            <w:col w:w="6380"/>
          </w:cols>
          <w:pgMar w:left="320" w:top="5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Align the interests of executive officers and directors with those of We adopted stock ownership guidelines applicable to our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stockholders</w:t>
      </w:r>
      <w:r>
        <w:rPr>
          <w:sz w:val="20"/>
          <w:szCs w:val="20"/>
          <w:color w:val="auto"/>
        </w:rPr>
        <w:tab/>
      </w:r>
      <w:r>
        <w:rPr>
          <w:rFonts w:ascii="Times New Roman" w:cs="Times New Roman" w:eastAsia="Times New Roman" w:hAnsi="Times New Roman"/>
          <w:sz w:val="18"/>
          <w:szCs w:val="18"/>
          <w:color w:val="auto"/>
        </w:rPr>
        <w:t>directors to ensure that their interests would be closely aligned with those of our</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Regarding Stockholder Communications with Board of Directors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Stockholders may communicate with the Board of Directors or any one particular director by sending correspondence, addressed to NTIC’s Corporate Secretary, Northern Technologies International Corporation, 4201 Woodland Road, Circle Pines, MN 55014 with an instruction to forward the communication to the Board of Directors or one or more particular directors. NTIC’s Corporate Secretary will promptly forward all such stockholder communications to the Board of Directors or the one or more particular directors, with the exception of any advertisements, solicitations for periodical or other subscriptions and other similar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and Other Compensation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table below provides summary information concerning the compensation of each individual who served as a director of NTIC during the fiscal year ended August 31, 2025, other than G. Patrick Lynch, our President and Chief Executive Officer, who was not compensated separately for serving on the Board of Directors during fiscal 2025. His compensation during fiscal 2025 for serving as an executive officer of NTIC is set forth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included elsewhere in this proxy statement.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60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xml:space="preserve">DIRECTOR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4"/>
        </w:trPr>
        <w:tc>
          <w:tcPr>
            <w:tcW w:w="296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60" w:type="dxa"/>
            <w:vAlign w:val="bottom"/>
            <w:shd w:val="clear" w:color="auto" w:fill="DDDDDD"/>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Fees Earned</w:t>
            </w: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080" w:type="dxa"/>
            <w:vAlign w:val="bottom"/>
            <w:shd w:val="clear" w:color="auto" w:fill="DDDDDD"/>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040" w:type="dxa"/>
            <w:vAlign w:val="bottom"/>
            <w:shd w:val="clear" w:color="auto" w:fill="DDDDDD"/>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400" w:type="dxa"/>
            <w:vAlign w:val="bottom"/>
            <w:gridSpan w:val="3"/>
            <w:shd w:val="clear" w:color="auto" w:fill="DDDDDD"/>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shd w:val="clear" w:color="auto" w:fill="DDDDDD"/>
          </w:tcPr>
          <w:p>
            <w:pPr>
              <w:spacing w:after="0"/>
              <w:rPr>
                <w:sz w:val="16"/>
                <w:szCs w:val="16"/>
                <w:color w:val="auto"/>
              </w:rPr>
            </w:pPr>
          </w:p>
        </w:tc>
      </w:tr>
      <w:tr>
        <w:trPr>
          <w:trHeight w:val="216"/>
        </w:trPr>
        <w:tc>
          <w:tcPr>
            <w:tcW w:w="296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160" w:type="dxa"/>
            <w:vAlign w:val="bottom"/>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80" w:type="dxa"/>
            <w:vAlign w:val="bottom"/>
            <w:shd w:val="clear" w:color="auto" w:fill="DDDDDD"/>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040" w:type="dxa"/>
            <w:vAlign w:val="bottom"/>
            <w:shd w:val="clear" w:color="auto" w:fill="DDDDDD"/>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shd w:val="clear" w:color="auto" w:fill="DDDDDD"/>
          </w:tcPr>
          <w:p>
            <w:pPr>
              <w:spacing w:after="0"/>
              <w:rPr>
                <w:sz w:val="18"/>
                <w:szCs w:val="18"/>
                <w:color w:val="auto"/>
              </w:rPr>
            </w:pPr>
          </w:p>
        </w:tc>
        <w:tc>
          <w:tcPr>
            <w:tcW w:w="1540" w:type="dxa"/>
            <w:vAlign w:val="bottom"/>
            <w:gridSpan w:val="4"/>
            <w:shd w:val="clear" w:color="auto" w:fill="DDDDDD"/>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shd w:val="clear" w:color="auto" w:fill="DDDDDD"/>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9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tcBorders>
              <w:bottom w:val="single" w:sz="8" w:color="auto"/>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20" w:type="dxa"/>
            <w:vAlign w:val="bottom"/>
            <w:tcBorders>
              <w:bottom w:val="single" w:sz="8" w:color="DDDDDD"/>
            </w:tcBorders>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1080" w:type="dxa"/>
            <w:vAlign w:val="bottom"/>
            <w:tcBorders>
              <w:bottom w:val="single" w:sz="8" w:color="auto"/>
            </w:tcBorders>
            <w:shd w:val="clear" w:color="auto" w:fill="DDDDDD"/>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(1)(2)</w:t>
            </w:r>
          </w:p>
        </w:tc>
        <w:tc>
          <w:tcPr>
            <w:tcW w:w="120" w:type="dxa"/>
            <w:vAlign w:val="bottom"/>
            <w:tcBorders>
              <w:bottom w:val="single" w:sz="8" w:color="DDDDDD"/>
            </w:tcBorders>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(3)(4)</w:t>
            </w:r>
          </w:p>
        </w:tc>
        <w:tc>
          <w:tcPr>
            <w:tcW w:w="10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080" w:type="dxa"/>
            <w:vAlign w:val="bottom"/>
            <w:tcBorders>
              <w:bottom w:val="single" w:sz="8" w:color="auto"/>
            </w:tcBorders>
            <w:shd w:val="clear" w:color="auto" w:fill="DDDDDD"/>
          </w:tcPr>
          <w:p>
            <w:pPr>
              <w:jc w:val="center"/>
              <w:ind w:right="171"/>
              <w:spacing w:after="0" w:line="239" w:lineRule="exact"/>
              <w:rPr>
                <w:sz w:val="20"/>
                <w:szCs w:val="20"/>
                <w:color w:val="auto"/>
              </w:rPr>
            </w:pPr>
            <w:r>
              <w:rPr>
                <w:rFonts w:ascii="Times New Roman" w:cs="Times New Roman" w:eastAsia="Times New Roman" w:hAnsi="Times New Roman"/>
                <w:sz w:val="17"/>
                <w:szCs w:val="17"/>
                <w:b w:val="1"/>
                <w:bCs w:val="1"/>
                <w:color w:val="auto"/>
                <w:w w:val="92"/>
              </w:rPr>
              <w:t>($)</w:t>
            </w:r>
            <w:r>
              <w:rPr>
                <w:rFonts w:ascii="Times New Roman" w:cs="Times New Roman" w:eastAsia="Times New Roman" w:hAnsi="Times New Roman"/>
                <w:sz w:val="27"/>
                <w:szCs w:val="27"/>
                <w:b w:val="1"/>
                <w:bCs w:val="1"/>
                <w:color w:val="auto"/>
                <w:w w:val="92"/>
                <w:vertAlign w:val="superscript"/>
              </w:rPr>
              <w:t>(5)</w:t>
            </w:r>
          </w:p>
        </w:tc>
        <w:tc>
          <w:tcPr>
            <w:tcW w:w="10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2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Nancy E. Calderon</w:t>
            </w:r>
          </w:p>
        </w:tc>
        <w:tc>
          <w:tcPr>
            <w:tcW w:w="17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46,500</w:t>
            </w:r>
          </w:p>
        </w:tc>
        <w:tc>
          <w:tcPr>
            <w:tcW w:w="300" w:type="dxa"/>
            <w:vAlign w:val="bottom"/>
            <w:gridSpan w:val="2"/>
          </w:tcPr>
          <w:p>
            <w:pPr>
              <w:jc w:val="right"/>
              <w:ind w:righ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7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96,500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94,000</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ind w:left="380" w:right="180" w:hanging="318"/>
        <w:spacing w:after="0" w:line="255"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for restricted stock unit awards granted to our non-employee directors in fiscal 2025. The grant date fair value for the restricted stock unit awards was determined based on the closing sale price of our common stock on the grant date.</w:t>
      </w:r>
    </w:p>
    <w:p>
      <w:pPr>
        <w:spacing w:after="0" w:line="185" w:lineRule="exact"/>
        <w:rPr>
          <w:rFonts w:ascii="Times New Roman" w:cs="Times New Roman" w:eastAsia="Times New Roman" w:hAnsi="Times New Roman"/>
          <w:sz w:val="18"/>
          <w:szCs w:val="18"/>
          <w:color w:val="auto"/>
        </w:rPr>
      </w:pPr>
    </w:p>
    <w:p>
      <w:pPr>
        <w:ind w:left="380" w:right="40" w:hanging="318"/>
        <w:spacing w:after="0" w:line="254"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2024, each non-employee director serving at the time, other than Mr. Lynch, Dr. Lee, Dr. Narayan, Mr. Nigon and Mr. von Falkenhausen, received a restricted stock unit award covering 3,771 shares of our common stock granted under the Northern Technologies International Corporation 2024 Stock Incentive Plan, the material terms of which are described in more detail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Plans</w:t>
      </w:r>
      <w:r>
        <w:rPr>
          <w:rFonts w:ascii="Times New Roman" w:cs="Times New Roman" w:eastAsia="Times New Roman" w:hAnsi="Times New Roman"/>
          <w:sz w:val="18"/>
          <w:szCs w:val="18"/>
          <w:color w:val="auto"/>
        </w:rPr>
        <w:t>.” These restricted stock units vested in full on September 1, 2025. As of August 31, 2025, each non-employee director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number of unvested stock awards (all of which are in the form of restricted stock units): Ms. Calderon (3,771); Ms. Kemp (3,771); Dr. Lee</w:t>
      </w:r>
    </w:p>
    <w:p>
      <w:pPr>
        <w:spacing w:after="0" w:line="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Dr. Narayan (0); Mr. Nigon (0); Ms. Pinho (3,771); and Mr. von Falkenhausen (0).</w:t>
      </w:r>
    </w:p>
    <w:p>
      <w:pPr>
        <w:spacing w:after="0" w:line="206" w:lineRule="exact"/>
        <w:rPr>
          <w:rFonts w:ascii="Times New Roman" w:cs="Times New Roman" w:eastAsia="Times New Roman" w:hAnsi="Times New Roman"/>
          <w:sz w:val="18"/>
          <w:szCs w:val="18"/>
          <w:color w:val="auto"/>
        </w:rPr>
      </w:pPr>
    </w:p>
    <w:p>
      <w:pPr>
        <w:jc w:val="both"/>
        <w:ind w:left="380" w:right="700" w:hanging="318"/>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do not reflect the compensation actually received by the directors nor do they reflect the actual value that will be recognized by the directors. Instead, the amounts reflect the grant date fair value for option grants made by us in fiscal 2025, as calculated in accordance with Financial Accounting Standards Board (“FASB”) Accounting Standards Codification (“ASC”) Topic 718.</w:t>
      </w:r>
    </w:p>
    <w:p>
      <w:pPr>
        <w:spacing w:after="0" w:line="175" w:lineRule="exact"/>
        <w:rPr>
          <w:rFonts w:ascii="Times New Roman" w:cs="Times New Roman" w:eastAsia="Times New Roman" w:hAnsi="Times New Roman"/>
          <w:sz w:val="18"/>
          <w:szCs w:val="18"/>
          <w:color w:val="auto"/>
        </w:rPr>
      </w:pPr>
    </w:p>
    <w:p>
      <w:pPr>
        <w:ind w:left="3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2024, each non-employee director, other than Mr. Lynch, Ms. Calderon, Ms. Kemp and Ms. Pinho, received a stock option to purchase 9,843 shares of our common stock at an exercise price of $13.26 per share granted under the Northern Technologies International Corporation 2024 Stock Incentive Plan, the material terms of which are described in more detail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These options vested in full on September 1, 2025 and will expire on August 31, 2034 or earlier in the case of a director whose service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is terminated prior to such date. In addition, on September 1, 2024, Mr. Nigon received an additional stock option to purchase 1,968 shares of our common stock in consideration for his service as Chairman of the Board. The terms of this stock option are identical to the other director stock options granted on that date. See “—</w:t>
      </w:r>
      <w:r>
        <w:rPr>
          <w:rFonts w:ascii="Times New Roman" w:cs="Times New Roman" w:eastAsia="Times New Roman" w:hAnsi="Times New Roman"/>
          <w:sz w:val="18"/>
          <w:szCs w:val="18"/>
          <w:i w:val="1"/>
          <w:iCs w:val="1"/>
          <w:color w:val="auto"/>
        </w:rPr>
        <w:t>Non-Employee Director Compensation Program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grant date fair value associated with these awards and as calculated in accordance with FASB ASC Topic 718 is determined based on our Black-Scholes option pricing model. The grant date fair value per share for the options granted on September 1, 2024 was $13.26 and was determined using the following specific assumptions: risk free interest rate: 3.66%; expected life: 10.0 years; expected volatility: 47.4%; and expected dividend yield: 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left="380" w:right="200" w:hanging="318"/>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information regarding the aggregate number of options to purchase shares of our common stock outstanding at August 31, 2025 and held by each of the directors listed in the Director Compensation Table. Note that because of the grant date, neither the Director Compensation Table nor the table below reflect option or restricted stock unit grants on September 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0" w:type="dxa"/>
            <w:vAlign w:val="bottom"/>
            <w:shd w:val="clear" w:color="auto" w:fill="DDDDDD"/>
          </w:tcPr>
          <w:p>
            <w:pPr>
              <w:spacing w:after="0"/>
              <w:rPr>
                <w:sz w:val="20"/>
                <w:szCs w:val="20"/>
                <w:color w:val="auto"/>
              </w:rPr>
            </w:pPr>
          </w:p>
        </w:tc>
        <w:tc>
          <w:tcPr>
            <w:tcW w:w="1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660" w:type="dxa"/>
            <w:vAlign w:val="bottom"/>
            <w:shd w:val="clear" w:color="auto" w:fill="DDDDDD"/>
          </w:tcPr>
          <w:p>
            <w:pPr>
              <w:spacing w:after="0"/>
              <w:rPr>
                <w:sz w:val="20"/>
                <w:szCs w:val="20"/>
                <w:color w:val="auto"/>
              </w:rPr>
            </w:pPr>
          </w:p>
        </w:tc>
        <w:tc>
          <w:tcPr>
            <w:tcW w:w="56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620" w:type="dxa"/>
            <w:vAlign w:val="bottom"/>
            <w:shd w:val="clear" w:color="auto" w:fill="DDDDDD"/>
          </w:tcPr>
          <w:p>
            <w:pPr>
              <w:spacing w:after="0"/>
              <w:rPr>
                <w:sz w:val="20"/>
                <w:szCs w:val="20"/>
                <w:color w:val="auto"/>
              </w:rPr>
            </w:pPr>
          </w:p>
        </w:tc>
      </w:tr>
      <w:tr>
        <w:trPr>
          <w:trHeight w:val="216"/>
        </w:trPr>
        <w:tc>
          <w:tcPr>
            <w:tcW w:w="32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shd w:val="clear" w:color="auto" w:fill="DDDDDD"/>
          </w:tcPr>
          <w:p>
            <w:pPr>
              <w:spacing w:after="0"/>
              <w:rPr>
                <w:sz w:val="18"/>
                <w:szCs w:val="18"/>
                <w:color w:val="auto"/>
              </w:rPr>
            </w:pPr>
          </w:p>
        </w:tc>
        <w:tc>
          <w:tcPr>
            <w:tcW w:w="18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620" w:type="dxa"/>
            <w:vAlign w:val="bottom"/>
            <w:shd w:val="clear" w:color="auto" w:fill="DDDDDD"/>
          </w:tcPr>
          <w:p>
            <w:pPr>
              <w:spacing w:after="0"/>
              <w:rPr>
                <w:sz w:val="18"/>
                <w:szCs w:val="18"/>
                <w:color w:val="auto"/>
              </w:rPr>
            </w:pPr>
          </w:p>
        </w:tc>
      </w:tr>
      <w:tr>
        <w:trPr>
          <w:trHeight w:val="216"/>
        </w:trPr>
        <w:tc>
          <w:tcPr>
            <w:tcW w:w="32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Securities</w:t>
            </w:r>
          </w:p>
        </w:tc>
        <w:tc>
          <w:tcPr>
            <w:tcW w:w="140" w:type="dxa"/>
            <w:vAlign w:val="bottom"/>
            <w:shd w:val="clear" w:color="auto" w:fill="DDDDDD"/>
          </w:tcPr>
          <w:p>
            <w:pPr>
              <w:spacing w:after="0"/>
              <w:rPr>
                <w:sz w:val="18"/>
                <w:szCs w:val="18"/>
                <w:color w:val="auto"/>
              </w:rPr>
            </w:pPr>
          </w:p>
        </w:tc>
        <w:tc>
          <w:tcPr>
            <w:tcW w:w="18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56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2620" w:type="dxa"/>
            <w:vAlign w:val="bottom"/>
            <w:shd w:val="clear" w:color="auto" w:fill="DDDDDD"/>
          </w:tcPr>
          <w:p>
            <w:pPr>
              <w:spacing w:after="0"/>
              <w:rPr>
                <w:sz w:val="18"/>
                <w:szCs w:val="18"/>
                <w:color w:val="auto"/>
              </w:rPr>
            </w:pPr>
          </w:p>
        </w:tc>
      </w:tr>
      <w:tr>
        <w:trPr>
          <w:trHeight w:val="216"/>
        </w:trPr>
        <w:tc>
          <w:tcPr>
            <w:tcW w:w="32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6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0" w:type="dxa"/>
            <w:vAlign w:val="bottom"/>
            <w:shd w:val="clear" w:color="auto" w:fill="DDDDDD"/>
          </w:tcPr>
          <w:p>
            <w:pPr>
              <w:spacing w:after="0"/>
              <w:rPr>
                <w:sz w:val="18"/>
                <w:szCs w:val="18"/>
                <w:color w:val="auto"/>
              </w:rPr>
            </w:pPr>
          </w:p>
        </w:tc>
        <w:tc>
          <w:tcPr>
            <w:tcW w:w="18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Exercisable/</w:t>
            </w:r>
          </w:p>
        </w:tc>
        <w:tc>
          <w:tcPr>
            <w:tcW w:w="12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shd w:val="clear" w:color="auto" w:fill="DDDDDD"/>
          </w:tcPr>
          <w:p>
            <w:pPr>
              <w:spacing w:after="0"/>
              <w:rPr>
                <w:sz w:val="18"/>
                <w:szCs w:val="18"/>
                <w:color w:val="auto"/>
              </w:rPr>
            </w:pPr>
          </w:p>
        </w:tc>
        <w:tc>
          <w:tcPr>
            <w:tcW w:w="2620" w:type="dxa"/>
            <w:vAlign w:val="bottom"/>
            <w:shd w:val="clear" w:color="auto" w:fill="DDDDDD"/>
          </w:tcPr>
          <w:p>
            <w:pPr>
              <w:ind w:left="9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84"/>
        </w:trPr>
        <w:tc>
          <w:tcPr>
            <w:tcW w:w="3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Borders>
              <w:bottom w:val="single" w:sz="8" w:color="DDDDDD"/>
            </w:tcBorders>
            <w:shd w:val="clear" w:color="auto" w:fill="DDDDDD"/>
          </w:tcPr>
          <w:p>
            <w:pPr>
              <w:spacing w:after="0"/>
              <w:rPr>
                <w:sz w:val="24"/>
                <w:szCs w:val="24"/>
                <w:color w:val="auto"/>
              </w:rPr>
            </w:pPr>
          </w:p>
        </w:tc>
        <w:tc>
          <w:tcPr>
            <w:tcW w:w="146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Borders>
              <w:bottom w:val="single" w:sz="8" w:color="DDDDDD"/>
            </w:tcBorders>
            <w:shd w:val="clear" w:color="auto" w:fill="DDDDDD"/>
          </w:tcPr>
          <w:p>
            <w:pPr>
              <w:spacing w:after="0"/>
              <w:rPr>
                <w:sz w:val="24"/>
                <w:szCs w:val="24"/>
                <w:color w:val="auto"/>
              </w:rPr>
            </w:pPr>
          </w:p>
        </w:tc>
        <w:tc>
          <w:tcPr>
            <w:tcW w:w="184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DDDDDD"/>
            </w:tcBorders>
            <w:shd w:val="clear" w:color="auto" w:fill="DDDDDD"/>
          </w:tcPr>
          <w:p>
            <w:pPr>
              <w:spacing w:after="0"/>
              <w:rPr>
                <w:sz w:val="24"/>
                <w:szCs w:val="24"/>
                <w:color w:val="auto"/>
              </w:rPr>
            </w:pPr>
          </w:p>
        </w:tc>
        <w:tc>
          <w:tcPr>
            <w:tcW w:w="1220" w:type="dxa"/>
            <w:vAlign w:val="bottom"/>
            <w:tcBorders>
              <w:bottom w:val="single" w:sz="8" w:color="DDDDDD"/>
            </w:tcBorders>
            <w:gridSpan w:val="2"/>
            <w:shd w:val="clear" w:color="auto" w:fill="DDDDDD"/>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140" w:type="dxa"/>
            <w:vAlign w:val="bottom"/>
            <w:tcBorders>
              <w:bottom w:val="single" w:sz="8" w:color="DDDDDD"/>
            </w:tcBorders>
            <w:shd w:val="clear" w:color="auto" w:fill="DDDDDD"/>
          </w:tcPr>
          <w:p>
            <w:pPr>
              <w:spacing w:after="0"/>
              <w:rPr>
                <w:sz w:val="24"/>
                <w:szCs w:val="24"/>
                <w:color w:val="auto"/>
              </w:rPr>
            </w:pPr>
          </w:p>
        </w:tc>
        <w:tc>
          <w:tcPr>
            <w:tcW w:w="2620" w:type="dxa"/>
            <w:vAlign w:val="bottom"/>
            <w:tcBorders>
              <w:bottom w:val="single" w:sz="8" w:color="DDDDDD"/>
            </w:tcBorders>
            <w:shd w:val="clear" w:color="auto" w:fill="DDDDDD"/>
          </w:tcPr>
          <w:p>
            <w:pPr>
              <w:ind w:left="1040"/>
              <w:spacing w:after="0"/>
              <w:rPr>
                <w:sz w:val="20"/>
                <w:szCs w:val="20"/>
                <w:color w:val="auto"/>
              </w:rPr>
            </w:pPr>
            <w:r>
              <w:rPr>
                <w:rFonts w:ascii="Times New Roman" w:cs="Times New Roman" w:eastAsia="Times New Roman" w:hAnsi="Times New Roman"/>
                <w:sz w:val="18"/>
                <w:szCs w:val="18"/>
                <w:b w:val="1"/>
                <w:bCs w:val="1"/>
                <w:color w:val="auto"/>
              </w:rPr>
              <w:t>Date(s)</w:t>
            </w:r>
          </w:p>
        </w:tc>
      </w:tr>
      <w:tr>
        <w:trPr>
          <w:trHeight w:val="250"/>
        </w:trPr>
        <w:tc>
          <w:tcPr>
            <w:tcW w:w="3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Nancy E. Calderon</w:t>
            </w:r>
          </w:p>
        </w:tc>
        <w:tc>
          <w:tcPr>
            <w:tcW w:w="140" w:type="dxa"/>
            <w:vAlign w:val="bottom"/>
            <w:tcBorders>
              <w:top w:val="single" w:sz="8" w:color="DDDDDD"/>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51,481</w:t>
            </w:r>
          </w:p>
        </w:tc>
        <w:tc>
          <w:tcPr>
            <w:tcW w:w="140" w:type="dxa"/>
            <w:vAlign w:val="bottom"/>
            <w:tcBorders>
              <w:top w:val="single" w:sz="8" w:color="DDDDDD"/>
            </w:tcBorders>
          </w:tcPr>
          <w:p>
            <w:pPr>
              <w:spacing w:after="0"/>
              <w:rPr>
                <w:sz w:val="21"/>
                <w:szCs w:val="21"/>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51,481/0</w:t>
            </w:r>
          </w:p>
        </w:tc>
        <w:tc>
          <w:tcPr>
            <w:tcW w:w="120" w:type="dxa"/>
            <w:vAlign w:val="bottom"/>
            <w:tcBorders>
              <w:top w:val="single" w:sz="8" w:color="DDDDDD"/>
            </w:tcBorders>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5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tcBorders>
              <w:top w:val="single" w:sz="8" w:color="DDDDDD"/>
            </w:tcBorders>
          </w:tcPr>
          <w:p>
            <w:pPr>
              <w:spacing w:after="0"/>
              <w:rPr>
                <w:sz w:val="21"/>
                <w:szCs w:val="21"/>
                <w:color w:val="auto"/>
              </w:rPr>
            </w:pPr>
          </w:p>
        </w:tc>
        <w:tc>
          <w:tcPr>
            <w:tcW w:w="26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10/21/2029 – 08/31/2034</w:t>
            </w:r>
          </w:p>
        </w:tc>
      </w:tr>
      <w:tr>
        <w:trPr>
          <w:trHeight w:val="29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Sarah E. Kemp</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51,481</w:t>
            </w:r>
          </w:p>
        </w:tc>
        <w:tc>
          <w:tcPr>
            <w:tcW w:w="1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51,481/0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10/21/2029 – 08/31/2034</w:t>
            </w:r>
          </w:p>
        </w:tc>
      </w:tr>
      <w:tr>
        <w:trPr>
          <w:trHeight w:val="29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Sunggyu Lee, Ph.D.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1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20,230/9,843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08/31/2032 – 08/31/2034</w:t>
            </w:r>
          </w:p>
        </w:tc>
      </w:tr>
      <w:tr>
        <w:trPr>
          <w:trHeight w:val="29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Ramani Narayan, Ph.D.</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1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32,635/9,843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08/31/2028 – 08/31/2034</w:t>
            </w:r>
          </w:p>
        </w:tc>
      </w:tr>
      <w:tr>
        <w:trPr>
          <w:trHeight w:val="29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J. Nigon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108,289</w:t>
            </w:r>
          </w:p>
        </w:tc>
        <w:tc>
          <w:tcPr>
            <w:tcW w:w="1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96,478/11,811</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08/31/2026 – 08/31/2034</w:t>
            </w:r>
          </w:p>
        </w:tc>
      </w:tr>
      <w:tr>
        <w:trPr>
          <w:trHeight w:val="29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Cristina Pinho</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15,432/0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–13.25</w:t>
            </w:r>
          </w:p>
        </w:tc>
        <w:tc>
          <w:tcPr>
            <w:tcW w:w="14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01/19/2033 – 08/31/2034</w:t>
            </w:r>
          </w:p>
        </w:tc>
      </w:tr>
      <w:tr>
        <w:trPr>
          <w:trHeight w:val="297"/>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86,241</w:t>
            </w:r>
          </w:p>
        </w:tc>
        <w:tc>
          <w:tcPr>
            <w:tcW w:w="1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76,398/9,843</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08/31/2026 – 08/31/2034</w:t>
            </w:r>
          </w:p>
        </w:tc>
      </w:tr>
    </w:tbl>
    <w:p>
      <w:pPr>
        <w:spacing w:after="0" w:line="238" w:lineRule="exact"/>
        <w:rPr>
          <w:sz w:val="20"/>
          <w:szCs w:val="20"/>
          <w:color w:val="auto"/>
        </w:rPr>
      </w:pPr>
    </w:p>
    <w:p>
      <w:pPr>
        <w:ind w:left="660" w:right="500" w:hanging="652"/>
        <w:spacing w:after="0" w:line="282" w:lineRule="auto"/>
        <w:tabs>
          <w:tab w:leader="none" w:pos="6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perquisites or other personal benefits to our directors. The amounts reflected for Dr. Narayan reflects consulting fees paid during the fiscal year ended August 31, 2025, as described in more detail below under “—</w:t>
      </w:r>
      <w:r>
        <w:rPr>
          <w:rFonts w:ascii="Times New Roman" w:cs="Times New Roman" w:eastAsia="Times New Roman" w:hAnsi="Times New Roman"/>
          <w:sz w:val="18"/>
          <w:szCs w:val="18"/>
          <w:i w:val="1"/>
          <w:iCs w:val="1"/>
          <w:color w:val="auto"/>
        </w:rPr>
        <w:t>Consulting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22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non-employee directors for the purposes of our director compensation program currently consist of Nancy E. Calderon, Sarah E. Kemp,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Sunggyu Lee, Ph.D., Ramani Narayan, Ph.D., Richard J. Nigon, Cristina Pinho and Konstantin von Falkenhausen.</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a combination of cash and long-term equity-based incentive compensation in the form of annual stock option or RSU grants to attract and retain qualified candidates to serve on the Board of Directors. In setting non-employee director compensation, we follow the processes and procedures described under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Processes and Procedures for the Determination of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Cash Retainers and Meeting Fees</w:t>
      </w:r>
      <w:r>
        <w:rPr>
          <w:rFonts w:ascii="Times New Roman" w:cs="Times New Roman" w:eastAsia="Times New Roman" w:hAnsi="Times New Roman"/>
          <w:sz w:val="18"/>
          <w:szCs w:val="18"/>
          <w:color w:val="auto"/>
        </w:rPr>
        <w:t>. Each of our non-employee directors receives annual cash retainers and meeting fees. The following table sets forth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cash retainers paid to our non-employee directors during fiscal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Cash</w:t>
            </w:r>
          </w:p>
        </w:tc>
      </w:tr>
      <w:tr>
        <w:trPr>
          <w:trHeight w:val="238"/>
        </w:trPr>
        <w:tc>
          <w:tcPr>
            <w:tcW w:w="95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400" w:type="dxa"/>
            <w:vAlign w:val="bottom"/>
            <w:tcBorders>
              <w:bottom w:val="single" w:sz="8" w:color="auto"/>
            </w:tcBorders>
            <w:shd w:val="clear" w:color="auto" w:fill="DDDDDD"/>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191"/>
        </w:trPr>
        <w:tc>
          <w:tcPr>
            <w:tcW w:w="9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Non-employee Board Member</w:t>
            </w:r>
          </w:p>
        </w:tc>
        <w:tc>
          <w:tcPr>
            <w:tcW w:w="28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(including Chair)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(including Chair)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(including Chair)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of our non-employee directors also receives $1,000 for each Board, Board committee and strategy review meeting attended. No director, however, earns more than $1,000 per day in Board, Board committee and strategy review meeting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Pursuant to our non-employee director compensation program, each non-employee director who is expected to stand for re-election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annual meeting of stockholders, is granted a ten-year non-qualified option to purchase $50,000 in shares of our common stock, or if a director so elects, $50,000 in restricted stock units, on the first day of each fiscal year in consideration for his or her service as a director of NTIC, and the Chairman of the Board is automatically granted an additional ten-year non-qualified option to purchase $10,000 in shares of our common stock, or if the Chairman of the board so elects, $10,000 in RSUs, on the first day of each fiscal year in consideration for his or her services as Chairman. In addition, each new non-employee director is automatically granted a ten-year non-qualified option to purchase a pro rata portion of $50,000 shares of our common stock calculated by dividing the number of months remaining in the fiscal year at the time of election or appointment by 12 on the date the director is first elected or appointed as a director of NTIC. The number of shares of common stock underlying the options or RSUs is determined based on the grant date fair value of the options or RSUs. Each option vests and becomes exercisable in full on the one-year anniversary of the grant date. The exercise price of such options is equal to the fair market value of a share of NTIC’s common stock on the grant date. RSUs also vest on the one-year anniversary of the grant date.</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Under the terms of our stock incentive plan, unless otherwise provided in a separate agreement or modified in connection with the termination of a director’s service, if a director’s service with NTIC terminates for any reason, the unvested portion of any stock options then held by the director will immediately terminate and the director’s right to exercise the then vested portion of the options will:</w:t>
      </w:r>
    </w:p>
    <w:p>
      <w:pPr>
        <w:spacing w:after="0" w:line="176"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terminate if the director’s service relationship with NTIC terminated for “cause”;</w:t>
      </w:r>
    </w:p>
    <w:p>
      <w:pPr>
        <w:spacing w:after="0" w:line="27"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for a period of 12 months if the director’s service relationship with NTIC terminates as a result of the director’s death, disability or retirement; or</w:t>
      </w:r>
    </w:p>
    <w:p>
      <w:pPr>
        <w:ind w:left="980" w:right="160" w:hanging="324"/>
        <w:spacing w:after="0" w:line="260"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for a period of three months if the director’s service relationship with NTIC terminates for any reason, other than for cause or upon the director’s death, disability or retirement.</w:t>
      </w:r>
    </w:p>
    <w:p>
      <w:pPr>
        <w:spacing w:after="0" w:line="1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under the terms of our stock incentive plan, unless otherwise provided in a separate agreement or modified in connection with the termination of a director’s service, if a director’s service with NTIC terminates for any reason, the unvested portion of any restricted stock units held by such director will be terminated and forfeited immediately.</w:t>
      </w:r>
    </w:p>
    <w:p>
      <w:pPr>
        <w:spacing w:after="0" w:line="1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refer you to note (2) to the “</w:t>
      </w:r>
      <w:r>
        <w:rPr>
          <w:rFonts w:ascii="Times New Roman" w:cs="Times New Roman" w:eastAsia="Times New Roman" w:hAnsi="Times New Roman"/>
          <w:sz w:val="18"/>
          <w:szCs w:val="18"/>
          <w:i w:val="1"/>
          <w:iCs w:val="1"/>
          <w:color w:val="auto"/>
        </w:rPr>
        <w:t>Director Compensation Table</w:t>
      </w:r>
      <w:r>
        <w:rPr>
          <w:rFonts w:ascii="Times New Roman" w:cs="Times New Roman" w:eastAsia="Times New Roman" w:hAnsi="Times New Roman"/>
          <w:sz w:val="18"/>
          <w:szCs w:val="18"/>
          <w:color w:val="auto"/>
        </w:rPr>
        <w:t>” for a summary of all restricted stock units awarded to our non-employee directors during the fiscal year ended August 31, 2025 and a summary of all restricted stock units held by our non-employee directors as of August 31, 2025. We refer you to note (3) to the “</w:t>
      </w:r>
      <w:r>
        <w:rPr>
          <w:rFonts w:ascii="Times New Roman" w:cs="Times New Roman" w:eastAsia="Times New Roman" w:hAnsi="Times New Roman"/>
          <w:sz w:val="18"/>
          <w:szCs w:val="18"/>
          <w:i w:val="1"/>
          <w:iCs w:val="1"/>
          <w:color w:val="auto"/>
        </w:rPr>
        <w:t>Director Compensation Table</w:t>
      </w:r>
      <w:r>
        <w:rPr>
          <w:rFonts w:ascii="Times New Roman" w:cs="Times New Roman" w:eastAsia="Times New Roman" w:hAnsi="Times New Roman"/>
          <w:sz w:val="18"/>
          <w:szCs w:val="18"/>
          <w:color w:val="auto"/>
        </w:rPr>
        <w:t>” for a summary of all option grants to our non-employee directors during the fiscal year ended August 31, 2025 and note (4) to the “</w:t>
      </w:r>
      <w:r>
        <w:rPr>
          <w:rFonts w:ascii="Times New Roman" w:cs="Times New Roman" w:eastAsia="Times New Roman" w:hAnsi="Times New Roman"/>
          <w:sz w:val="18"/>
          <w:szCs w:val="18"/>
          <w:i w:val="1"/>
          <w:iCs w:val="1"/>
          <w:color w:val="auto"/>
        </w:rPr>
        <w:t>Director Compensation Table</w:t>
      </w:r>
      <w:r>
        <w:rPr>
          <w:rFonts w:ascii="Times New Roman" w:cs="Times New Roman" w:eastAsia="Times New Roman" w:hAnsi="Times New Roman"/>
          <w:sz w:val="18"/>
          <w:szCs w:val="18"/>
          <w:color w:val="auto"/>
        </w:rPr>
        <w:t>” for a summary of all options to purchase shares of our common stock held by our non-employee directors as of August 31, 2025.</w:t>
      </w:r>
    </w:p>
    <w:p>
      <w:pPr>
        <w:spacing w:after="0" w:line="18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Reimbursement of Expenses</w:t>
      </w:r>
      <w:r>
        <w:rPr>
          <w:rFonts w:ascii="Times New Roman" w:cs="Times New Roman" w:eastAsia="Times New Roman" w:hAnsi="Times New Roman"/>
          <w:sz w:val="18"/>
          <w:szCs w:val="18"/>
          <w:color w:val="auto"/>
        </w:rPr>
        <w:t>. All of our directors are reimbursed for travel expenses for attending meetings and other miscellaneous out-of-pocket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in performing their Board of Directors functions.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party to a consulting agreement with Bioplastic Polymers LLC, an entity owned by one of our directors, Ramani Narayan, Ph.D., pursuant to which Dr. Narayan provides certain consulting services to us relating to our Natur-Tec® business and bioplastics program. The agreement sets out terms for clear separation between Dr. Narayan’s work at Michigan State University and any related inventions and his work with us and related inventions. In exchange for the consulting services, we pay Bioplastic Polymers LLC $12,000 per month. Unless terminated earlier, the agreement will terminate by its terms on January 11, 2027. Either party may terminate the agreement upon 30 days prior written notice and the agreement will terminate automatically upon Dr. Narayan’s death or a disability that prevents him from performing services under the agreement. We paid Bioplastic Polymers LLC $144,000 in consulting fees during the fiscal year ended August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Compensation Review, we describe the key principles and approaches we use to determine elements of compensation paid to, awarded to and earned by G. Patrick Lynch, who serves as our President and Chief Executive Officer (referred to as our “CEO”), and Matthew C. Wolsfeld, who serves as our Chief Financial Officer (referred to as our “CFO”). Their compensation is set forth in the Summary Compensation Table found later in this proxy statement. The CEO and CFO are the only two individuals who have been designated by our Board of Directors as “executive officers” of NTIC within the meaning of the federal securities laws. This Compensation Review should be read in conjunction with the accompanying compensation tables, corresponding notes and narrative discussion, as they provide additional information and context to our compensation disclosures. We refer to the CEO and CFO in this proxy statement as our “named executive officers” or “executives.”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When reading this Compensation Review, please note that we are a “smaller reporting company” under the federal securities laws and are not required to provide a “Compensation Discussion and Analysis” of the type required by Item 402 of Regulation S-K. This Compensation Review is intended to supplement the SEC-required disclosure, which is included below this section, and it is not a Compensation Discussion and Analysis.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Summary</w:t>
      </w:r>
    </w:p>
    <w:p>
      <w:pPr>
        <w:spacing w:after="0" w:line="22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One of our key executive compensation objectives is to link pay to performance by aligning the financial interests of our executives with those of our stockholders and by emphasizing pay for performance in our compensation programs. We believe we accomplish this objective primarily through our annual bonus plan, which compensates executives for achieving annual corporate financial goals and individual goals.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fiscal 2025 total net sales decreased 1% to $84.2 million compared to fiscal 2024 and NTIC incurred net income attributable to NTIC of approximately $18,000, or $0.00 per diluted common share, for fiscal 2025 compared to net income attributable to NTIC of $5.4 million, or $0.55 per diluted common share, for fiscal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Highlights and Best Practices</w:t>
      </w:r>
    </w:p>
    <w:p>
      <w:pPr>
        <w:spacing w:after="0" w:line="227"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Our compensation practices include many best pay practices that support our executive compensation objectives and principles and benefit our stockholders, such as the following:</w:t>
      </w:r>
    </w:p>
    <w:p>
      <w:pPr>
        <w:spacing w:after="0" w:line="160" w:lineRule="exact"/>
        <w:rPr>
          <w:sz w:val="20"/>
          <w:szCs w:val="20"/>
          <w:color w:val="auto"/>
        </w:rPr>
      </w:pPr>
    </w:p>
    <w:p>
      <w:pPr>
        <w:ind w:left="980" w:right="440" w:hanging="324"/>
        <w:spacing w:after="0" w:line="284"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 for performance</w:t>
      </w:r>
      <w:r>
        <w:rPr>
          <w:rFonts w:ascii="Times New Roman" w:cs="Times New Roman" w:eastAsia="Times New Roman" w:hAnsi="Times New Roman"/>
          <w:sz w:val="18"/>
          <w:szCs w:val="18"/>
          <w:color w:val="auto"/>
        </w:rPr>
        <w:t>. We tie compensation directly to financial performance. Our annual bonus plan pays out only if a certain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earnings threshold is met, and the payouts are completely dependent upon our actual adjusted earnings.</w:t>
      </w:r>
    </w:p>
    <w:p>
      <w:pPr>
        <w:spacing w:after="0" w:line="158" w:lineRule="exact"/>
        <w:rPr>
          <w:rFonts w:ascii="Times New Roman" w:cs="Times New Roman" w:eastAsia="Times New Roman" w:hAnsi="Times New Roman"/>
          <w:sz w:val="18"/>
          <w:szCs w:val="18"/>
          <w:color w:val="auto"/>
        </w:rPr>
      </w:pPr>
    </w:p>
    <w:p>
      <w:pPr>
        <w:ind w:left="980" w:right="160" w:hanging="324"/>
        <w:spacing w:after="0" w:line="284"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At-risk pay</w:t>
      </w:r>
      <w:r>
        <w:rPr>
          <w:rFonts w:ascii="Times New Roman" w:cs="Times New Roman" w:eastAsia="Times New Roman" w:hAnsi="Times New Roman"/>
          <w:sz w:val="18"/>
          <w:szCs w:val="18"/>
          <w:color w:val="auto"/>
        </w:rPr>
        <w:t>. A significant portion of executives’ compensation is “performance-based” or “at risk.” For fiscal 2025, approximately 60.1%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compensation for our named executive officers was performance-based, assuming grant date fair values for equity awards.</w:t>
      </w:r>
    </w:p>
    <w:p>
      <w:pPr>
        <w:spacing w:after="0" w:line="158" w:lineRule="exact"/>
        <w:rPr>
          <w:rFonts w:ascii="Times New Roman" w:cs="Times New Roman" w:eastAsia="Times New Roman" w:hAnsi="Times New Roman"/>
          <w:sz w:val="18"/>
          <w:szCs w:val="18"/>
          <w:color w:val="auto"/>
        </w:rPr>
      </w:pPr>
    </w:p>
    <w:p>
      <w:pPr>
        <w:jc w:val="both"/>
        <w:ind w:left="980" w:right="180" w:hanging="324"/>
        <w:spacing w:after="0" w:line="267"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Equity-based pay</w:t>
      </w:r>
      <w:r>
        <w:rPr>
          <w:rFonts w:ascii="Times New Roman" w:cs="Times New Roman" w:eastAsia="Times New Roman" w:hAnsi="Times New Roman"/>
          <w:sz w:val="18"/>
          <w:szCs w:val="18"/>
          <w:color w:val="auto"/>
        </w:rPr>
        <w:t>. A significant portion of executives’ compensation is “equity-based” and in the form of stock-based incentive awards.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2025, approximately 28.6% of total compensation for our named executive officers was equity-based, assuming grant date fair values for equity awards.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4" w:name="page55"/>
    <w:bookmarkEnd w:id="54"/>
    <w:p>
      <w:pPr>
        <w:ind w:left="980" w:right="20" w:hanging="324"/>
        <w:spacing w:after="0" w:line="25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We maintain a robust, Nasdaq-compliant clawback policy pursuant to which we are required to recover erroneously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from current or former executive officers in the event of certain financial restatements as provided under the Nasdaq rules. This policy also provides that we may recover certain incentive compensation, including all equity awards, if a financial metric used to determine the vesting or payment of compensation was calculated incorrectly, whether or not a restatement occurs, or if an executive engages in egregious conduct that is substantially detrimental to NTIC. In addition, our stock incentive plan and related award agreements include a “clawback” mechanism to recoup incentive compensation if it is determined that executives engaged in certain conduct adverse to our interests.</w:t>
      </w:r>
    </w:p>
    <w:p>
      <w:pPr>
        <w:spacing w:after="0" w:line="182" w:lineRule="exact"/>
        <w:rPr>
          <w:rFonts w:ascii="Times New Roman" w:cs="Times New Roman" w:eastAsia="Times New Roman" w:hAnsi="Times New Roman"/>
          <w:sz w:val="18"/>
          <w:szCs w:val="18"/>
          <w:color w:val="auto"/>
        </w:rPr>
      </w:pPr>
    </w:p>
    <w:p>
      <w:pPr>
        <w:ind w:left="980" w:right="200" w:hanging="324"/>
        <w:spacing w:after="0" w:line="284"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tax gross-ups</w:t>
      </w:r>
      <w:r>
        <w:rPr>
          <w:rFonts w:ascii="Times New Roman" w:cs="Times New Roman" w:eastAsia="Times New Roman" w:hAnsi="Times New Roman"/>
          <w:sz w:val="18"/>
          <w:szCs w:val="18"/>
          <w:color w:val="auto"/>
        </w:rPr>
        <w:t>. We do not provide any tax “gross-up” payments in connection with any compensation, benefits or perquisites provided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executives.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perquisites</w:t>
      </w:r>
      <w:r>
        <w:rPr>
          <w:rFonts w:ascii="Times New Roman" w:cs="Times New Roman" w:eastAsia="Times New Roman" w:hAnsi="Times New Roman"/>
          <w:sz w:val="18"/>
          <w:szCs w:val="18"/>
          <w:color w:val="auto"/>
        </w:rPr>
        <w:t>. We provide only limited perquisites to our executives.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4"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ownership guidelines</w:t>
      </w:r>
      <w:r>
        <w:rPr>
          <w:rFonts w:ascii="Times New Roman" w:cs="Times New Roman" w:eastAsia="Times New Roman" w:hAnsi="Times New Roman"/>
          <w:sz w:val="18"/>
          <w:szCs w:val="18"/>
          <w:color w:val="auto"/>
        </w:rPr>
        <w:t>. We maintain stock ownership guidelines that allow us to ensure that the interests of our executive officers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closely aligned with those of our stockholders.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hedging or pledging</w:t>
      </w:r>
      <w:r>
        <w:rPr>
          <w:rFonts w:ascii="Times New Roman" w:cs="Times New Roman" w:eastAsia="Times New Roman" w:hAnsi="Times New Roman"/>
          <w:sz w:val="18"/>
          <w:szCs w:val="18"/>
          <w:color w:val="auto"/>
        </w:rPr>
        <w:t>. We prohibit our executives from engaging in hedging transactions, such as short sales, transactions in publicly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such as puts, calls and other derivatives, and pledging our common stock in any significant respect.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Say-on-Pay Vote</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our stockholders had the opportunity to provide an advisory vote on the compensation paid to our named executive officers, or a “say-on-pay” vote. Of the votes cast by our stockholders, 93% were in favor of our “say-on-pay” proposal. Accordingly, the Compensation Committee generally believes that these results affirmed stockholder support of our approach to executive compensation and did not believe it was necessary to make, and therefore has not made, any changes to our executive pay program solely in response to that vote.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 Objectives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guiding compensation philosophy is to maintain an executive compensation program that allows us to attract, retain, motivate and reward qualified and talented executives that will enable us to grow our business, achieve our annual, long-term and strategic goals and drive long-term stockholder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core principles provide a framework for our executive compensation program:</w:t>
      </w:r>
    </w:p>
    <w:p>
      <w:pPr>
        <w:spacing w:after="0" w:line="225"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interests of our executives with stockholder interests;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with our business plans and strategic goals;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amount of compensation to both company and individual performance;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competitive compensation opportunities that attract and retain executives.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Make Compensation Decisions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are several elements to our executive compensation decision-making, which we believe allow us to most effectively implement our compensation philosophy. Each of these elements and their roles are described briefly below.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5" w:name="page56"/>
    <w:bookmarkEnd w:id="55"/>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Role of the Compensation Committee</w:t>
      </w:r>
      <w:r>
        <w:rPr>
          <w:rFonts w:ascii="Times New Roman" w:cs="Times New Roman" w:eastAsia="Times New Roman" w:hAnsi="Times New Roman"/>
          <w:sz w:val="18"/>
          <w:szCs w:val="18"/>
          <w:color w:val="auto"/>
        </w:rPr>
        <w:t>. The Compensation Committee, which is comprised solely of independent directors, oversees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program. Within its duties, the Compensation Committee recommends compensation for the CEO and CFO. In doing so, the Compensation Committee:</w:t>
      </w:r>
    </w:p>
    <w:p>
      <w:pPr>
        <w:spacing w:after="0" w:line="175" w:lineRule="exact"/>
        <w:rPr>
          <w:sz w:val="20"/>
          <w:szCs w:val="20"/>
          <w:color w:val="auto"/>
        </w:rPr>
      </w:pPr>
    </w:p>
    <w:p>
      <w:pPr>
        <w:ind w:left="980" w:right="26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and recommends that the Board approve the total executive compensation package for each executive, including his base salary, annual bonus payout and annual stock option awards;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and recommends that the Board approve the terms of our annual bonus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and recommends that the Board approve annual stock option grants;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market competitiveness of our executive compensation program;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proposed significant changes to all other elements of our executive compensation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setting or recommending executive compensation for our executives, the Compensation Committee considers the following primary factors:</w:t>
      </w:r>
    </w:p>
    <w:p>
      <w:pPr>
        <w:spacing w:after="0" w:line="225"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executive’s position within NTIC and the level of responsibility;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executive to impact key business initiatives;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individual experience and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as compared to specific pre-established objectives;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generally and as compared to specific pre-established objectives;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current and historical compensation levels;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 potential and succession planning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risk that the executive would leave NTIC and the harm to our business initiatives if the executive left;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value of executive equity holdings, including outstanding stock options;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on the interests of our stockholders of long-term equity-based incentive awards;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share-based compensation expense as determined under applicable accounting rules.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Compensation Committee also considers the recommendations of the CEO with respect to executive compensation to be paid to other executives and employees. The significance of any individual factor described above in setting executive compensation will vary from year to year and may vary among our executives. In making its final decision regarding the form and amount of compensation to be paid to our named executive officers (other than the CEO), the Compensation Committee considers and gives great weight to the recommendations of the CEO recognizing that due to his reporting and otherwise close relationship with each executive and employee, the CEO often is in a better position than the Compensation Committee to evaluate the performance of each executive (other than himself). In making its final decision regarding the form and amount of compensation to be paid to the CEO, the Compensation Committee considers the results of the CEO’s self-review and his individual annual performance review by the Compensation Committee and the recommendations of our non-employee directors. The CEO’s compensation is approved by the Board of Directors (with the CEO abstaining), upon recommendation of the Compensation Committee.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56" w:name="page57"/>
    <w:bookmarkEnd w:id="56"/>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Role of Management</w:t>
      </w:r>
      <w:r>
        <w:rPr>
          <w:rFonts w:ascii="Times New Roman" w:cs="Times New Roman" w:eastAsia="Times New Roman" w:hAnsi="Times New Roman"/>
          <w:sz w:val="18"/>
          <w:szCs w:val="18"/>
          <w:color w:val="auto"/>
        </w:rPr>
        <w:t>. Management’s role is to provide current compensation information to the Compensation Committee and provide analysis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recommendations on executive compensation to the Compensation Committee based on the executive’s level of professional experience; the executive’s duties and responsibilities; individual performance; tenure; and historic corporate performance. None of our executives, including the CEO, provides input or recommendations with respect to his own compensation.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Since there are no public companies of which NTIC is aware that are substantially similar to NTIC, in terms of its business,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profile, the Compensation Committee has not used market data to review and evaluate executive compensation in any material respect. However, the Compensation Committee has historically used a group of peer companies with a market capitalization similar to NTIC and either in a similar industry or located in Minnesota.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Our Executive Compensation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for the fiscal year ended August 31, 2025 consisted of the following key elements:</w:t>
      </w:r>
    </w:p>
    <w:p>
      <w:pPr>
        <w:spacing w:after="0" w:line="225"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in the form of stock options;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including health and welfare benefits, retirement plans and perquisites.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some of the key characteristics of and purpose for each element along with some key actions taken during fiscal 2025.</w:t>
      </w:r>
    </w:p>
    <w:p>
      <w:pPr>
        <w:spacing w:after="0" w:line="221" w:lineRule="exact"/>
        <w:rPr>
          <w:sz w:val="20"/>
          <w:szCs w:val="20"/>
          <w:color w:val="auto"/>
        </w:rPr>
      </w:pPr>
    </w:p>
    <w:p>
      <w:pPr>
        <w:spacing w:after="0"/>
        <w:tabs>
          <w:tab w:leader="none" w:pos="2140" w:val="left"/>
          <w:tab w:leader="none" w:pos="5800" w:val="left"/>
          <w:tab w:leader="none" w:pos="8620" w:val="left"/>
        </w:tabs>
        <w:rPr>
          <w:sz w:val="20"/>
          <w:szCs w:val="20"/>
          <w:color w:val="auto"/>
        </w:rPr>
      </w:pPr>
      <w:r>
        <w:rPr>
          <w:rFonts w:ascii="Times New Roman" w:cs="Times New Roman" w:eastAsia="Times New Roman" w:hAnsi="Times New Roman"/>
          <w:sz w:val="18"/>
          <w:szCs w:val="18"/>
          <w:b w:val="1"/>
          <w:bCs w:val="1"/>
          <w:color w:val="auto"/>
        </w:rPr>
        <w:t>Element</w:t>
      </w:r>
      <w:r>
        <w:rPr>
          <w:sz w:val="20"/>
          <w:szCs w:val="20"/>
          <w:color w:val="auto"/>
        </w:rPr>
        <w:tab/>
      </w:r>
      <w:r>
        <w:rPr>
          <w:rFonts w:ascii="Times New Roman" w:cs="Times New Roman" w:eastAsia="Times New Roman" w:hAnsi="Times New Roman"/>
          <w:sz w:val="18"/>
          <w:szCs w:val="18"/>
          <w:b w:val="1"/>
          <w:bCs w:val="1"/>
          <w:color w:val="auto"/>
        </w:rPr>
        <w:t>Key Characteristics</w:t>
      </w:r>
      <w:r>
        <w:rPr>
          <w:sz w:val="20"/>
          <w:szCs w:val="20"/>
          <w:color w:val="auto"/>
        </w:rPr>
        <w:tab/>
      </w:r>
      <w:r>
        <w:rPr>
          <w:rFonts w:ascii="Times New Roman" w:cs="Times New Roman" w:eastAsia="Times New Roman" w:hAnsi="Times New Roman"/>
          <w:sz w:val="18"/>
          <w:szCs w:val="18"/>
          <w:b w:val="1"/>
          <w:bCs w:val="1"/>
          <w:color w:val="auto"/>
        </w:rPr>
        <w:t>Purpose</w:t>
      </w:r>
      <w:r>
        <w:rPr>
          <w:sz w:val="20"/>
          <w:szCs w:val="20"/>
          <w:color w:val="auto"/>
        </w:rPr>
        <w:tab/>
      </w:r>
      <w:r>
        <w:rPr>
          <w:rFonts w:ascii="Times New Roman" w:cs="Times New Roman" w:eastAsia="Times New Roman" w:hAnsi="Times New Roman"/>
          <w:sz w:val="18"/>
          <w:szCs w:val="18"/>
          <w:b w:val="1"/>
          <w:bCs w:val="1"/>
          <w:color w:val="auto"/>
        </w:rPr>
        <w:t>Key Fiscal 2025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p>
      <w:pPr>
        <w:spacing w:after="0" w:line="3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Base Salary</w:t>
      </w:r>
      <w:r>
        <w:rPr>
          <w:sz w:val="20"/>
          <w:szCs w:val="20"/>
          <w:color w:val="auto"/>
        </w:rPr>
        <w:tab/>
      </w:r>
      <w:r>
        <w:rPr>
          <w:rFonts w:ascii="Times New Roman" w:cs="Times New Roman" w:eastAsia="Times New Roman" w:hAnsi="Times New Roman"/>
          <w:sz w:val="17"/>
          <w:szCs w:val="17"/>
          <w:color w:val="auto"/>
        </w:rPr>
        <w:t>A fixed amount, paid in cash and</w:t>
      </w:r>
    </w:p>
    <w:p>
      <w:pPr>
        <w:spacing w:after="0" w:line="23" w:lineRule="exact"/>
        <w:rPr>
          <w:sz w:val="20"/>
          <w:szCs w:val="20"/>
          <w:color w:val="auto"/>
        </w:rPr>
      </w:pPr>
    </w:p>
    <w:p>
      <w:pPr>
        <w:ind w:left="1520"/>
        <w:spacing w:after="0" w:line="260" w:lineRule="auto"/>
        <w:rPr>
          <w:sz w:val="20"/>
          <w:szCs w:val="20"/>
          <w:color w:val="auto"/>
        </w:rPr>
      </w:pPr>
      <w:r>
        <w:rPr>
          <w:rFonts w:ascii="Times New Roman" w:cs="Times New Roman" w:eastAsia="Times New Roman" w:hAnsi="Times New Roman"/>
          <w:sz w:val="18"/>
          <w:szCs w:val="18"/>
          <w:color w:val="auto"/>
        </w:rPr>
        <w:t>reviewed annually and, if appropriate, adjusted.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Provide a source of fixed income that is competitive and reflects scope and responsibility of the position held.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Our named executive officers received a 4.0% increase to their fiscal 2025 annual base salaries.</w:t>
      </w:r>
    </w:p>
    <w:p>
      <w:pPr>
        <w:spacing w:after="0" w:line="192" w:lineRule="exact"/>
        <w:rPr>
          <w:sz w:val="20"/>
          <w:szCs w:val="20"/>
          <w:color w:val="auto"/>
        </w:rPr>
      </w:pPr>
    </w:p>
    <w:p>
      <w:pPr>
        <w:sectPr>
          <w:pgSz w:w="11900" w:h="16838" w:orient="portrait"/>
          <w:cols w:equalWidth="0" w:num="3">
            <w:col w:w="4260" w:space="220"/>
            <w:col w:w="2860" w:space="660"/>
            <w:col w:w="3220"/>
          </w:cols>
          <w:pgMar w:left="320" w:top="578" w:right="359" w:bottom="1440" w:gutter="0" w:footer="0" w:header="0"/>
          <w:type w:val="continuous"/>
        </w:sectPr>
      </w:pPr>
    </w:p>
    <w:p>
      <w:pPr>
        <w:spacing w:after="0"/>
        <w:tabs>
          <w:tab w:leader="none" w:pos="1500" w:val="left"/>
        </w:tabs>
        <w:rPr>
          <w:sz w:val="20"/>
          <w:szCs w:val="20"/>
          <w:color w:val="auto"/>
        </w:rPr>
      </w:pPr>
      <w:r>
        <w:rPr>
          <w:rFonts w:ascii="Times New Roman" w:cs="Times New Roman" w:eastAsia="Times New Roman" w:hAnsi="Times New Roman"/>
          <w:sz w:val="18"/>
          <w:szCs w:val="18"/>
          <w:color w:val="auto"/>
        </w:rPr>
        <w:t>Annual Incentive</w:t>
      </w:r>
      <w:r>
        <w:rPr>
          <w:sz w:val="20"/>
          <w:szCs w:val="20"/>
          <w:color w:val="auto"/>
        </w:rPr>
        <w:tab/>
      </w:r>
      <w:r>
        <w:rPr>
          <w:rFonts w:ascii="Times New Roman" w:cs="Times New Roman" w:eastAsia="Times New Roman" w:hAnsi="Times New Roman"/>
          <w:sz w:val="17"/>
          <w:szCs w:val="17"/>
          <w:color w:val="auto"/>
        </w:rPr>
        <w:t>A variable, short-term element of</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compensation that is typically payable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in cash and is based on Adjusted</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EBITOI and individual performance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goals.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Motivate and reward our executives for achievement of annual business results intended to drive overall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-568325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Times New Roman" w:cs="Times New Roman" w:eastAsia="Times New Roman" w:hAnsi="Times New Roman"/>
          <w:sz w:val="17"/>
          <w:szCs w:val="17"/>
          <w:color w:val="auto"/>
        </w:rPr>
        <w:t>A portion of the annual incentive earned for fiscal 2025 was paid in the form of a stock option grant made at the beginning of fiscal 2025, resulting in cash bonuses of $23,759 for Mr. Lynch and $17,561 for Mr. Wolsfeld.</w:t>
      </w:r>
    </w:p>
    <w:p>
      <w:pPr>
        <w:spacing w:after="0" w:line="181" w:lineRule="exact"/>
        <w:rPr>
          <w:sz w:val="20"/>
          <w:szCs w:val="20"/>
          <w:color w:val="auto"/>
        </w:rPr>
      </w:pPr>
    </w:p>
    <w:p>
      <w:pPr>
        <w:sectPr>
          <w:pgSz w:w="11900" w:h="16838" w:orient="portrait"/>
          <w:cols w:equalWidth="0" w:num="3">
            <w:col w:w="4280" w:space="200"/>
            <w:col w:w="2840" w:space="680"/>
            <w:col w:w="3220"/>
          </w:cols>
          <w:pgMar w:left="320" w:top="57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Long-Term Equity- A variable, long-term element of</w:t>
      </w:r>
    </w:p>
    <w:p>
      <w:pPr>
        <w:spacing w:after="0" w:line="27" w:lineRule="exact"/>
        <w:rPr>
          <w:sz w:val="20"/>
          <w:szCs w:val="20"/>
          <w:color w:val="auto"/>
        </w:rPr>
      </w:pPr>
    </w:p>
    <w:p>
      <w:pPr>
        <w:ind w:left="1520" w:hanging="1515"/>
        <w:spacing w:after="0" w:line="253" w:lineRule="auto"/>
        <w:tabs>
          <w:tab w:leader="none" w:pos="1500" w:val="left"/>
        </w:tabs>
        <w:rPr>
          <w:sz w:val="20"/>
          <w:szCs w:val="20"/>
          <w:color w:val="auto"/>
        </w:rPr>
      </w:pPr>
      <w:r>
        <w:rPr>
          <w:rFonts w:ascii="Times New Roman" w:cs="Times New Roman" w:eastAsia="Times New Roman" w:hAnsi="Times New Roman"/>
          <w:sz w:val="18"/>
          <w:szCs w:val="18"/>
          <w:color w:val="auto"/>
        </w:rPr>
        <w:t>Based Incentive</w:t>
      </w:r>
      <w:r>
        <w:rPr>
          <w:sz w:val="20"/>
          <w:szCs w:val="20"/>
          <w:color w:val="auto"/>
        </w:rPr>
        <w:tab/>
      </w:r>
      <w:r>
        <w:rPr>
          <w:rFonts w:ascii="Times New Roman" w:cs="Times New Roman" w:eastAsia="Times New Roman" w:hAnsi="Times New Roman"/>
          <w:sz w:val="18"/>
          <w:szCs w:val="18"/>
          <w:color w:val="auto"/>
        </w:rPr>
        <w:t>compensation that is provided in the form of stock options. Stock options are time-based and vest annually over three years.</w:t>
      </w:r>
    </w:p>
    <w:p>
      <w:pPr>
        <w:spacing w:after="0" w:line="20" w:lineRule="exact"/>
        <w:rPr>
          <w:sz w:val="20"/>
          <w:szCs w:val="20"/>
          <w:color w:val="auto"/>
        </w:rPr>
      </w:pPr>
      <w:r>
        <w:rPr>
          <w:sz w:val="20"/>
          <w:szCs w:val="20"/>
          <w:color w:val="auto"/>
        </w:rPr>
        <w:br w:type="column"/>
      </w: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Align the interests of our executives with the</w:t>
      </w:r>
      <w:r>
        <w:rPr>
          <w:sz w:val="20"/>
          <w:szCs w:val="20"/>
          <w:color w:val="auto"/>
        </w:rPr>
        <w:tab/>
      </w:r>
      <w:r>
        <w:rPr>
          <w:rFonts w:ascii="Times New Roman" w:cs="Times New Roman" w:eastAsia="Times New Roman" w:hAnsi="Times New Roman"/>
          <w:sz w:val="17"/>
          <w:szCs w:val="17"/>
          <w:color w:val="auto"/>
        </w:rPr>
        <w:t>No significant changes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-127635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long-term interests of our stockholders;</w:t>
      </w:r>
      <w:r>
        <w:rPr>
          <w:sz w:val="20"/>
          <w:szCs w:val="20"/>
          <w:color w:val="auto"/>
        </w:rPr>
        <w:tab/>
      </w:r>
      <w:r>
        <w:rPr>
          <w:rFonts w:ascii="Times New Roman" w:cs="Times New Roman" w:eastAsia="Times New Roman" w:hAnsi="Times New Roman"/>
          <w:sz w:val="17"/>
          <w:szCs w:val="17"/>
          <w:color w:val="auto"/>
        </w:rPr>
        <w:t>The fiscal 2025 stock option grant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promote stock ownership and create significant intended as partial payout of the fiscal 2025</w:t>
      </w:r>
    </w:p>
    <w:p>
      <w:pPr>
        <w:spacing w:after="0" w:line="9"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incentives for executive retention.</w:t>
      </w:r>
      <w:r>
        <w:rPr>
          <w:sz w:val="20"/>
          <w:szCs w:val="20"/>
          <w:color w:val="auto"/>
        </w:rPr>
        <w:tab/>
      </w:r>
      <w:r>
        <w:rPr>
          <w:rFonts w:ascii="Times New Roman" w:cs="Times New Roman" w:eastAsia="Times New Roman" w:hAnsi="Times New Roman"/>
          <w:sz w:val="18"/>
          <w:szCs w:val="18"/>
          <w:color w:val="auto"/>
        </w:rPr>
        <w:t>annual bonus program.</w:t>
      </w:r>
    </w:p>
    <w:p>
      <w:pPr>
        <w:spacing w:after="0" w:line="200" w:lineRule="exact"/>
        <w:rPr>
          <w:sz w:val="20"/>
          <w:szCs w:val="20"/>
          <w:color w:val="auto"/>
        </w:rPr>
      </w:pPr>
    </w:p>
    <w:p>
      <w:pPr>
        <w:spacing w:after="0" w:line="2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240" w:space="240"/>
            <w:col w:w="6740"/>
          </w:cols>
          <w:pgMar w:left="320" w:top="578" w:right="3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2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700" w:type="dxa"/>
            <w:vAlign w:val="bottom"/>
            <w:tcBorders>
              <w:bottom w:val="single" w:sz="8" w:color="auto"/>
            </w:tcBorders>
            <w:shd w:val="clear" w:color="auto" w:fill="DDDDDD"/>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3940" w:type="dxa"/>
            <w:vAlign w:val="bottom"/>
            <w:tcBorders>
              <w:bottom w:val="single" w:sz="8" w:color="auto"/>
            </w:tcBorders>
            <w:shd w:val="clear" w:color="auto" w:fill="DDDDDD"/>
          </w:tcPr>
          <w:p>
            <w:pPr>
              <w:ind w:left="180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3340" w:type="dxa"/>
            <w:vAlign w:val="bottom"/>
            <w:tcBorders>
              <w:bottom w:val="single" w:sz="8" w:color="auto"/>
            </w:tcBorders>
            <w:shd w:val="clear" w:color="auto" w:fill="DDDDDD"/>
          </w:tcPr>
          <w:p>
            <w:pPr>
              <w:ind w:left="740"/>
              <w:spacing w:after="0"/>
              <w:rPr>
                <w:sz w:val="20"/>
                <w:szCs w:val="20"/>
                <w:color w:val="auto"/>
              </w:rPr>
            </w:pPr>
            <w:r>
              <w:rPr>
                <w:rFonts w:ascii="Times New Roman" w:cs="Times New Roman" w:eastAsia="Times New Roman" w:hAnsi="Times New Roman"/>
                <w:sz w:val="18"/>
                <w:szCs w:val="18"/>
                <w:b w:val="1"/>
                <w:bCs w:val="1"/>
                <w:color w:val="auto"/>
              </w:rPr>
              <w:t>Key Fiscal 2025 Actions</w:t>
            </w:r>
          </w:p>
        </w:tc>
      </w:tr>
      <w:tr>
        <w:trPr>
          <w:trHeight w:val="191"/>
        </w:trPr>
        <w:tc>
          <w:tcPr>
            <w:tcW w:w="1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Health and</w:t>
            </w:r>
          </w:p>
        </w:tc>
        <w:tc>
          <w:tcPr>
            <w:tcW w:w="270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Includes health, dental and life</w:t>
            </w:r>
          </w:p>
        </w:tc>
        <w:tc>
          <w:tcPr>
            <w:tcW w:w="394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Provide competitive health and welfare benefits</w:t>
            </w:r>
          </w:p>
        </w:tc>
        <w:tc>
          <w:tcPr>
            <w:tcW w:w="33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No significant changes were made.</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Welfare Benefits</w:t>
            </w:r>
          </w:p>
        </w:tc>
        <w:tc>
          <w:tcPr>
            <w:tcW w:w="27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insurance.</w:t>
            </w: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at a reasonable cost and promote employee</w:t>
            </w:r>
          </w:p>
        </w:tc>
        <w:tc>
          <w:tcPr>
            <w:tcW w:w="334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health.</w:t>
            </w:r>
          </w:p>
        </w:tc>
        <w:tc>
          <w:tcPr>
            <w:tcW w:w="3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599"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 Plans Includes a 401(k) plan.</w:t>
      </w:r>
    </w:p>
    <w:p>
      <w:pPr>
        <w:spacing w:after="0" w:line="27" w:lineRule="exact"/>
        <w:rPr>
          <w:sz w:val="20"/>
          <w:szCs w:val="20"/>
          <w:color w:val="auto"/>
        </w:rPr>
      </w:pPr>
    </w:p>
    <w:p>
      <w:pPr>
        <w:ind w:left="1320"/>
        <w:spacing w:after="0" w:line="252" w:lineRule="auto"/>
        <w:rPr>
          <w:sz w:val="20"/>
          <w:szCs w:val="20"/>
          <w:color w:val="auto"/>
        </w:rPr>
      </w:pPr>
      <w:r>
        <w:rPr>
          <w:rFonts w:ascii="Times New Roman" w:cs="Times New Roman" w:eastAsia="Times New Roman" w:hAnsi="Times New Roman"/>
          <w:sz w:val="18"/>
          <w:szCs w:val="18"/>
          <w:color w:val="auto"/>
        </w:rPr>
        <w:t>We do not provide pension arrangements or post-retirement health coverage for our executives or employees. We also do not provide any nonqualified defined contribution or other deferred compensation plans.</w:t>
      </w:r>
    </w:p>
    <w:p>
      <w:pPr>
        <w:spacing w:after="0" w:line="20" w:lineRule="exact"/>
        <w:rPr>
          <w:sz w:val="20"/>
          <w:szCs w:val="20"/>
          <w:color w:val="auto"/>
        </w:rPr>
      </w:pPr>
      <w:r>
        <w:rPr>
          <w:sz w:val="20"/>
          <w:szCs w:val="20"/>
          <w:color w:val="auto"/>
        </w:rPr>
        <w:br w:type="column"/>
      </w:r>
    </w:p>
    <w:p>
      <w:pPr>
        <w:spacing w:after="0"/>
        <w:tabs>
          <w:tab w:leader="none" w:pos="3580" w:val="left"/>
        </w:tabs>
        <w:rPr>
          <w:sz w:val="20"/>
          <w:szCs w:val="20"/>
          <w:color w:val="auto"/>
        </w:rPr>
      </w:pPr>
      <w:r>
        <w:rPr>
          <w:rFonts w:ascii="Times New Roman" w:cs="Times New Roman" w:eastAsia="Times New Roman" w:hAnsi="Times New Roman"/>
          <w:sz w:val="18"/>
          <w:szCs w:val="18"/>
          <w:color w:val="auto"/>
        </w:rPr>
        <w:t>Provide an opportunity for employees to save</w:t>
      </w:r>
      <w:r>
        <w:rPr>
          <w:sz w:val="20"/>
          <w:szCs w:val="20"/>
          <w:color w:val="auto"/>
        </w:rPr>
        <w:tab/>
      </w:r>
      <w:r>
        <w:rPr>
          <w:rFonts w:ascii="Times New Roman" w:cs="Times New Roman" w:eastAsia="Times New Roman" w:hAnsi="Times New Roman"/>
          <w:sz w:val="17"/>
          <w:szCs w:val="17"/>
          <w:color w:val="auto"/>
        </w:rPr>
        <w:t>No significant changes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-127635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prepare financially for retirement.</w:t>
      </w:r>
    </w:p>
    <w:p>
      <w:pPr>
        <w:spacing w:after="0" w:line="1297" w:lineRule="exact"/>
        <w:rPr>
          <w:sz w:val="20"/>
          <w:szCs w:val="20"/>
          <w:color w:val="auto"/>
        </w:rPr>
      </w:pPr>
    </w:p>
    <w:p>
      <w:pPr>
        <w:sectPr>
          <w:pgSz w:w="11900" w:h="16838" w:orient="portrait"/>
          <w:cols w:equalWidth="0" w:num="2">
            <w:col w:w="4280" w:space="100"/>
            <w:col w:w="6860"/>
          </w:cols>
          <w:pgMar w:left="320" w:top="599" w:right="339" w:bottom="1440" w:gutter="0" w:footer="0" w:header="0"/>
          <w:type w:val="continuous"/>
        </w:sectPr>
      </w:pPr>
    </w:p>
    <w:p>
      <w:pPr>
        <w:spacing w:after="0" w:line="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Perquisites</w:t>
      </w:r>
      <w:r>
        <w:rPr>
          <w:sz w:val="20"/>
          <w:szCs w:val="20"/>
          <w:color w:val="auto"/>
        </w:rPr>
        <w:tab/>
      </w:r>
      <w:r>
        <w:rPr>
          <w:rFonts w:ascii="Times New Roman" w:cs="Times New Roman" w:eastAsia="Times New Roman" w:hAnsi="Times New Roman"/>
          <w:sz w:val="18"/>
          <w:szCs w:val="18"/>
          <w:color w:val="auto"/>
        </w:rPr>
        <w:t>Includes use of a company-owned</w:t>
      </w:r>
    </w:p>
    <w:p>
      <w:pPr>
        <w:spacing w:after="0" w:line="27" w:lineRule="exact"/>
        <w:rPr>
          <w:sz w:val="20"/>
          <w:szCs w:val="20"/>
          <w:color w:val="auto"/>
        </w:rPr>
      </w:pPr>
    </w:p>
    <w:p>
      <w:pPr>
        <w:ind w:left="1320"/>
        <w:spacing w:after="0" w:line="260" w:lineRule="auto"/>
        <w:rPr>
          <w:sz w:val="20"/>
          <w:szCs w:val="20"/>
          <w:color w:val="auto"/>
        </w:rPr>
      </w:pPr>
      <w:r>
        <w:rPr>
          <w:rFonts w:ascii="Times New Roman" w:cs="Times New Roman" w:eastAsia="Times New Roman" w:hAnsi="Times New Roman"/>
          <w:sz w:val="18"/>
          <w:szCs w:val="18"/>
          <w:color w:val="auto"/>
        </w:rPr>
        <w:t>automobile. We do not provide any other perquisites to our executives.</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Assist in the attraction and retention of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-305435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114300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Times New Roman" w:cs="Times New Roman" w:eastAsia="Times New Roman" w:hAnsi="Times New Roman"/>
          <w:sz w:val="17"/>
          <w:szCs w:val="17"/>
          <w:color w:val="auto"/>
        </w:rPr>
        <w:t>No significant changes were made.</w:t>
      </w:r>
    </w:p>
    <w:p>
      <w:pPr>
        <w:spacing w:after="0" w:line="682" w:lineRule="exact"/>
        <w:rPr>
          <w:sz w:val="20"/>
          <w:szCs w:val="20"/>
          <w:color w:val="auto"/>
        </w:rPr>
      </w:pPr>
    </w:p>
    <w:p>
      <w:pPr>
        <w:sectPr>
          <w:pgSz w:w="11900" w:h="16838" w:orient="portrait"/>
          <w:cols w:equalWidth="0" w:num="3">
            <w:col w:w="4280" w:space="100"/>
            <w:col w:w="2880" w:space="720"/>
            <w:col w:w="3260"/>
          </w:cols>
          <w:pgMar w:left="320" w:top="599" w:right="339" w:bottom="1440" w:gutter="0" w:footer="0" w:header="0"/>
          <w:type w:val="continuous"/>
        </w:sect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describe each key element of our executive compensation program in more detail in the following pages, along with the compensation decisions made in fiscal 2025.</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We provide a base salary for our named executive officers, which, unlike some of the other elements of our executive compensation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subject to company or individual performance risk. We recognize the need for most executives to receive at least a portion of their total compensation in the form of a guaranteed base salary that is paid in cash regularly throughout the year.</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initially fix base salaries for our executives at a level that we believe enables us to hire and retain them in a competitive environment and to reward satisfactory individual performance and a satisfactory level of contribution to our overall business objectives. The Compensation Committee reviews base salaries for our named executive officers each year typically in August and generally recommends to the Board of Directors any increases for the following fiscal year in August. Any increases in base salaries are effective as of September 1.</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Committee’s recommendations to the Board of Directors regarding the base salaries of our named executive officers are based on a number of factors, including: the executive’s level of responsibility, prior experience and base salary for the prior year, the skills and experiences required by the position, length of service with NTIC, past individual performance, cost of living increases and other considerations the Compensation Committee deems relevant. The Compensation Committee also recognizes that in addition to the typical responsibilities and duties held by our executives, by virtue of their positions, our executives, due to the small number of our executives and employees, often possess additional responsibilities and perform additional duties that would be typically delegated to others in most organizations with additional personnel and resources.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Annualized base salary rates for fiscal 2024 and fiscal 2025 for our named executive officers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260" w:type="dxa"/>
            <w:vAlign w:val="bottom"/>
            <w:shd w:val="clear" w:color="auto" w:fill="DDDDDD"/>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260" w:type="dxa"/>
            <w:vAlign w:val="bottom"/>
            <w:shd w:val="clear" w:color="auto" w:fill="DDDDDD"/>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shd w:val="clear" w:color="auto" w:fill="DDDDDD"/>
          </w:tcPr>
          <w:p>
            <w:pPr>
              <w:spacing w:after="0"/>
              <w:rPr>
                <w:sz w:val="17"/>
                <w:szCs w:val="17"/>
                <w:color w:val="auto"/>
              </w:rPr>
            </w:pPr>
          </w:p>
        </w:tc>
        <w:tc>
          <w:tcPr>
            <w:tcW w:w="1600" w:type="dxa"/>
            <w:vAlign w:val="bottom"/>
            <w:shd w:val="clear" w:color="auto" w:fill="DDDDDD"/>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 From</w:t>
            </w:r>
          </w:p>
        </w:tc>
      </w:tr>
      <w:tr>
        <w:trPr>
          <w:trHeight w:val="238"/>
        </w:trPr>
        <w:tc>
          <w:tcPr>
            <w:tcW w:w="620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DDDDDD"/>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1260" w:type="dxa"/>
            <w:vAlign w:val="bottom"/>
            <w:tcBorders>
              <w:bottom w:val="single" w:sz="8" w:color="auto"/>
            </w:tcBorders>
            <w:shd w:val="clear" w:color="auto" w:fill="DDDDDD"/>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DDDDD"/>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1260" w:type="dxa"/>
            <w:vAlign w:val="bottom"/>
            <w:tcBorders>
              <w:bottom w:val="single" w:sz="8" w:color="auto"/>
            </w:tcBorders>
            <w:shd w:val="clear" w:color="auto" w:fill="DDDDDD"/>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DDDDDD"/>
            </w:tcBorders>
            <w:shd w:val="clear" w:color="auto" w:fill="DDDDDD"/>
          </w:tcPr>
          <w:p>
            <w:pPr>
              <w:spacing w:after="0"/>
              <w:rPr>
                <w:sz w:val="20"/>
                <w:szCs w:val="20"/>
                <w:color w:val="auto"/>
              </w:rPr>
            </w:pPr>
          </w:p>
        </w:tc>
        <w:tc>
          <w:tcPr>
            <w:tcW w:w="1600" w:type="dxa"/>
            <w:vAlign w:val="bottom"/>
            <w:tcBorders>
              <w:bottom w:val="single" w:sz="8" w:color="auto"/>
            </w:tcBorders>
            <w:shd w:val="clear" w:color="auto" w:fill="DDDDDD"/>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2024</w:t>
            </w:r>
          </w:p>
        </w:tc>
      </w:tr>
      <w:tr>
        <w:trPr>
          <w:trHeight w:val="191"/>
        </w:trPr>
        <w:tc>
          <w:tcPr>
            <w:tcW w:w="6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c>
          <w:tcPr>
            <w:tcW w:w="40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503,610</w:t>
            </w:r>
          </w:p>
        </w:tc>
        <w:tc>
          <w:tcPr>
            <w:tcW w:w="40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523,754</w:t>
            </w:r>
          </w:p>
        </w:tc>
        <w:tc>
          <w:tcPr>
            <w:tcW w:w="17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4.0%</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372,233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387,123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Board of Directors, upon recommendation of the Compensation Committee, recently set base salaries for fiscal 2026. Both Mr. Lynch’s and Mr. Wolsfeld’s base salaries for fiscal 2026 remained the same as base salaries for fiscal 2025.</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Annual Incentive Compensation</w:t>
      </w:r>
      <w:r>
        <w:rPr>
          <w:rFonts w:ascii="Times New Roman" w:cs="Times New Roman" w:eastAsia="Times New Roman" w:hAnsi="Times New Roman"/>
          <w:sz w:val="18"/>
          <w:szCs w:val="18"/>
          <w:color w:val="auto"/>
        </w:rPr>
        <w:t>. In addition to base compensation, we provide our named executive officers the opportunity to earn annual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 achievement of certain company and individual related performance goals. Our annual bonus program, along with our stock ownership guidelines, directly aligns the interests of our executive officers and stockholders by providing an incentive for the achievement of key corporate and individual performance measures that are critical to the success of NTIC and linking a significant portion of each executive’s annual compensation to the achievement of such measures.</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annual bonus plan for fiscal 2025, the total amount available under the bonus plan for all plan participants, including our two executive officers, as in past years, was a percent (25%) of NTIC’s earnings before interest, taxes and other income, as adjusted to take into account amounts to be paid under the bonus plan and certain other adjustments (referred to as “Adjusted EBITOI”). For fiscal 2025, the other adjustments included amounts paid under NTIC’s sales and management bonus plan and profit sharing plan and a portion of stock-based compensation expense. As in past years, for fiscal 2025, for each named executive officer participant, 75% of the amount of their individual bonus payout was determined based upon their individual allocation percentage of the total amount available under the bonus plan, and 25% of their individual payout was determined based upon their achievement of certain pre-established but more qualitative individual performance objectives.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plan participant’s individual allocation percentage of the total amount available under the bonus plan was based on the number of plan participants (which for fiscal 2025 was seven participants), the individual’s annual base salary for fiscal 2025 and the individual’s position and level of responsibility within NTIC. Individual allocation percentages ranged from approximately 5% to 23%. Mr. Lynch’s individual allocation percentage for fiscal 2025 was approximately 23% and Mr. Wolsfeld’s individual allocation percentage for fiscal 2025 was approximately 17% of a total cash management bonus pool of $105,409.</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Lynch’s individual performance objectives for fiscal 2025 related primarily to NTIC’s infrastructure backbone, enterprise software platform and artificial intelligence strategy, oversight of ZERUST® Industrial and oil and gas sales and marketing, management of pending litigation, improvement and maintenance of key joint venture relationships, improvement and maintenance of investor relations and retention and improvement of key personnel. Mr. Wolsfeld’s individual performance objectives for fiscal 2025 related primarily to investor relations, subsidiary gross margins, operating margins and profitability, qualified suppliers and management of NTIC’s enterprise software platform. In the case of both Mr. Lynch and Mr. Wolsfeld, the Compensation Committee determined each executive achieved his individual performance objectives at a 100% achievement level.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spacing w:after="0" w:line="282" w:lineRule="auto"/>
        <w:rPr>
          <w:sz w:val="20"/>
          <w:szCs w:val="20"/>
          <w:color w:val="auto"/>
        </w:rPr>
      </w:pPr>
      <w:r>
        <w:rPr>
          <w:rFonts w:ascii="Times New Roman" w:cs="Times New Roman" w:eastAsia="Times New Roman" w:hAnsi="Times New Roman"/>
          <w:sz w:val="18"/>
          <w:szCs w:val="18"/>
          <w:color w:val="auto"/>
        </w:rPr>
        <w:t>Mr. Lynch received a total cash bonus of $23,759 for fiscal 2025 and Mr. Wolsfeld received a total bonus of $17,561 for fiscal 2025. Additionally, a portion of the annual bonus earned was paid in the form of a stock option grant on September 1, 2024.</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structure and material terms of our annual bonus plan for fiscal 2026 are similar to the annual bonus plan for fiscal 2025. As in past years, the payment of bonuses under the plan for fiscal 2026 will be discretionary and may be paid to participants in cash and/or shares of NTIC common stock.</w:t>
      </w:r>
    </w:p>
    <w:p>
      <w:pPr>
        <w:spacing w:after="0" w:line="1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Long-Term Equity-Based Incentive Compensation</w:t>
      </w:r>
      <w:r>
        <w:rPr>
          <w:rFonts w:ascii="Times New Roman" w:cs="Times New Roman" w:eastAsia="Times New Roman" w:hAnsi="Times New Roman"/>
          <w:sz w:val="18"/>
          <w:szCs w:val="18"/>
          <w:color w:val="auto"/>
        </w:rPr>
        <w:t>. The long-term equity-based incentive compensation component of our executive compensation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annual option grants to our executives and certain other employees. The stock options are typically granted on the first business day of each fiscal year.</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Accordingly, on September 1, 2024, NTIC granted Mr. Lynch an option to purchase 44,858 shares of common stock and Mr. Wolsfeld an option to purchase 33,156 shares of common stock. These options vest annually over three years. More recently, on September 1, 2025, NTIC granted Mr. Lynch an option to purchase 44,051 shares of common stock and Mr. Wolsfeld an option to purchase 32,559 shares of common stock. These stock options also vest annually over three years.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determining the number of stock options to grant to our executives and other employees, the Board of Directors, upon recommendation of the Compensation Committee, considered the anticipated amount to be earned under the annual bonus plan and a portion of which it preferred to pay out in the form of a stock option grant and the total amount of stock-based compensation expense budgeted for such options and divided that amount by the grant date fair value per share to obtain a total option pool. Of the total option pool, the number of options to be granted to each executive and employee receiving options was then determined based on the individual’s base salary as a percentage of the total aggregate base salaries of all executives and employees receiving option grants. For the most recent option grants, the Board of Directors and Compensation Committee also considered the number of shares remaining available under our stockholder-approved stock incentive plan.</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Compensation Committee’s primary objectives with respect to long-term equity-based incentive compensation, along with our stock ownership guidelines, are to align the interests of our executives with the long-term interests of our stockholders, promote stock ownership and create significant incentives for executive retention. Long-term equity-based incentives are intended to comprise a significant portion of each executive’s compensation package, consistent with our executive compensation objective to align the interests of our executives with the interests of our stockholders. For fiscal 2025, equity-based compensation comprised approximately 28.6% of the total compensation for Mr. Lynch and Mr. Wolsfeld, assuming grant date fair value for equity awards. All equity-based compensation granted to our executives and other employees is granted under our current stockholder-approved stock incentive plan.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Compensation Committee uses stock options as opposed to other equity-based incentive awards since the Compensation Committee believes that options effectively incentivize executives to maximize company performance, as the value of awards is directly tied to an appreciation in the value of our common stock. Stock options also provide an effective retention mechanism because of vesting provisions. An important objective of our long-term equity-based incentive program is to strengthen the relationship between the long-term value of our common stock and the potential financial gain for our executives. Stock options provide recipients with the opportunity to purchase our common stock at a price fixed on the grant date regardless of future market price. The vesting of our stock options is time-based – over three years and previously upon the one-year anniversary of the date of grant. Our policy is to grant options only with an exercise price equal to or more than the fair market value of our common stock on the grant date. Under the terms of our incentive plan, fair market value is defined as the mean between the reported high and low sale prices of our common stock as of the grant date at the end of the regular trading session, as reported on the Nasdaq Global Market. Because stock options become valuable only if the share price increases above the exercise price and the option holder remains employed during the period required for the option to vest, they provide an incentive for an executive to remain employed. In addition, stock options link a portion of an employee’s compensation to the interests of our stockholders by providing an incentive to achieve corporate goals and increase the market price of our common stock over the vesting period.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0" w:name="page61"/>
    <w:bookmarkEnd w:id="60"/>
    <w:p>
      <w:pPr>
        <w:ind w:right="80"/>
        <w:spacing w:after="0" w:line="258" w:lineRule="auto"/>
        <w:rPr>
          <w:sz w:val="20"/>
          <w:szCs w:val="20"/>
          <w:color w:val="auto"/>
        </w:rPr>
      </w:pPr>
      <w:r>
        <w:rPr>
          <w:rFonts w:ascii="Times New Roman" w:cs="Times New Roman" w:eastAsia="Times New Roman" w:hAnsi="Times New Roman"/>
          <w:sz w:val="18"/>
          <w:szCs w:val="18"/>
          <w:color w:val="auto"/>
        </w:rPr>
        <w:t>Through the grant of stock options, we seek to align the long-term interests of our executives with the long-term interests of our stockholders by creating a strong and direct link between compensation and long-term stockholder return. When our executives deliver returns to our stockholders, in the form of increases in our stock price or otherwise, stock options permit an increase in their compensation. We also believe that stock options enable our executives to achieve meaningful equity ownership in NTIC and enable us to attract, retain and motivate our executives by maintaining competitive levels of total compensation.</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described in more detail below, we maintain stock ownership guidelines to align the interests of our executives with the interests of our stockholders, and under the terms of our insider trading policy, our executives are prohibited from engaging in any hedging or significant pledging of their shares of our common stock.</w:t>
      </w:r>
    </w:p>
    <w:p>
      <w:pPr>
        <w:spacing w:after="0" w:line="17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i w:val="1"/>
          <w:iCs w:val="1"/>
          <w:color w:val="auto"/>
        </w:rPr>
        <w:t>All Other Compensation</w:t>
      </w:r>
      <w:r>
        <w:rPr>
          <w:rFonts w:ascii="Times New Roman" w:cs="Times New Roman" w:eastAsia="Times New Roman" w:hAnsi="Times New Roman"/>
          <w:sz w:val="17"/>
          <w:szCs w:val="17"/>
          <w:color w:val="auto"/>
        </w:rPr>
        <w:t>. It is generally our policy not to extend significant perquisites to our executives that are not available to our employees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only significant perquisite that we provide to our executives is the personal use of a company-owned vehicle. Our executives also receive benefits, which are also received by our other employees, including participation in the Northern Technologies International Corporation 401(k) Plan and health, dental and life insurance benefits. Under the 401(k) plan, all eligible participants, including our executives, may voluntarily request that we reduce his or her pre-tax compensation by up to 10% (subject to certain special limitations) and contribute such amounts to a trust. We typically contribute an amount equal to 50% of the first 7% of the amount that each participant contributed under this plan. We do not provide pension arrangements or post-retirement health coverage for our executives or employees. We also do not provide any nonqualified defined contribution or other deferred compensation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and Post-Termination Severance Arrangements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Change in Control Arrangements</w:t>
      </w:r>
      <w:r>
        <w:rPr>
          <w:rFonts w:ascii="Times New Roman" w:cs="Times New Roman" w:eastAsia="Times New Roman" w:hAnsi="Times New Roman"/>
          <w:sz w:val="18"/>
          <w:szCs w:val="18"/>
          <w:color w:val="auto"/>
        </w:rPr>
        <w:t>. To encourage continuity, stability and retention when considering the potential disruptive impact of an actual or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transaction, we have established change in control arrangements, including provisions in our stock incentive plans and written employment agreements with our executives. These arrangements are designed to incentivize our executives to remain with NTIC in the event of a change in control or a potential change in control.</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terms of our stock incentive plans and the individual award documents provided to recipients of awards under those plans, all stock options become immediately vested and exercisable upon the completion of a change in control of NTIC. For more information, see “—</w:t>
      </w:r>
      <w:r>
        <w:rPr>
          <w:rFonts w:ascii="Times New Roman" w:cs="Times New Roman" w:eastAsia="Times New Roman" w:hAnsi="Times New Roman"/>
          <w:sz w:val="18"/>
          <w:szCs w:val="18"/>
          <w:i w:val="1"/>
          <w:iCs w:val="1"/>
          <w:color w:val="auto"/>
        </w:rPr>
        <w:t>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 Arrangements</w:t>
      </w:r>
      <w:r>
        <w:rPr>
          <w:rFonts w:ascii="Times New Roman" w:cs="Times New Roman" w:eastAsia="Times New Roman" w:hAnsi="Times New Roman"/>
          <w:sz w:val="18"/>
          <w:szCs w:val="18"/>
          <w:color w:val="auto"/>
        </w:rPr>
        <w:t>.” Thus, the immediate vesting of stock options is triggered by the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itself, and thus is known as a “single trigger” change in control arrangement. We believe these “single trigger” equity acceleration change in control arrangements provide important retention incentives during what can often be an uncertain time for executives. They also provide executives with additional monetary motivation to focus on and complete a transaction that the Board of Directors believes is in the best interests of our stockholders rather than to seek new employment opportunities. If an executive were to leave before the completion of the change in control, non-vested options held by the executive would terminate.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1" w:name="page62"/>
    <w:bookmarkEnd w:id="61"/>
    <w:p>
      <w:pPr>
        <w:spacing w:after="0" w:line="252" w:lineRule="auto"/>
        <w:rPr>
          <w:sz w:val="20"/>
          <w:szCs w:val="20"/>
          <w:color w:val="auto"/>
        </w:rPr>
      </w:pPr>
      <w:r>
        <w:rPr>
          <w:rFonts w:ascii="Times New Roman" w:cs="Times New Roman" w:eastAsia="Times New Roman" w:hAnsi="Times New Roman"/>
          <w:sz w:val="18"/>
          <w:szCs w:val="18"/>
          <w:color w:val="auto"/>
        </w:rPr>
        <w:t>In addition, we have entered into employment agreements with our named executive officers to provide certain payments and benefits in the event of a change in control, which are payable only in the event their employment is terminated in connection with the change in control (“double-trigger” provisions). These change in control protections provide consideration to executives for certain restrictive covenants that apply following termination of employment and provide continuity of management in connection with a threatened or actual change in control transaction. If an executive’s employment is terminated without “cause” or by the executive for “good reason” (as defined in the employment agreements) within 24 months following a change in control, the executive will be entitled to receive a lump sum payment equal to two times, in the case of the CEO, and one and one-half times, in the case of the CFO, his average total annual compensation for the two most recently completed fiscal years. The average total annual compensation will be determined based on the calculation used to determine total compensation in the Summary Compensation Table. Accordingly, it will not include equity gains; only, the grant date fair value of equity grants. Additionally, each of the CEO and CFO is eligible to receive a pro rata portion of the target bonus that the executive otherwise would have been eligible to receive under our bonus plan for the fiscal year during which the executive’s employment is terminated, with such pro rata portion based on the number of completed months during the fiscal year that the executive was employed with NTIC. These arrangements, and a quantification of the payment and benefits provided under these arrangements, are described in more detail under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or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 Arrangements</w:t>
      </w:r>
      <w:r>
        <w:rPr>
          <w:rFonts w:ascii="Times New Roman" w:cs="Times New Roman" w:eastAsia="Times New Roman" w:hAnsi="Times New Roman"/>
          <w:sz w:val="18"/>
          <w:szCs w:val="18"/>
          <w:color w:val="auto"/>
        </w:rPr>
        <w:t>.” Other than the immediate acceleration of equity-based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believe aligns our executives’ interests with those of our stockholders by allowing executives to participate fully in the benefits of a change in control as to all of their equity, in order for a named executive officer to receive any other payments or benefits as a result of a change in control of NTIC, there must be a termination of the executive’s employment, either by us without cause or by the executive for good reason. The termination of the executive’s employment by the executive without good reason will not give rise to additional payments or benefits either in a change in control situation or otherwise. Thus, these additional payments and benefits will not just be triggered by a change in control, but also will require a termination event not within the control of the executive, and thus are known as “double trigger” change in control arrangements. As opposed to the immediate acceleration of stock options, we believe that other change in control payments and benefits should properly be tied to termination following a change in control, given the intent that these amounts provide economic security to ease the executive’s transition into new employment.</w:t>
      </w:r>
    </w:p>
    <w:p>
      <w:pPr>
        <w:spacing w:after="0" w:line="188"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We believe these change in control arrangements are an important part of our executive compensation program in part because they mitigate some of the risk for executives working in a smaller company where there is a meaningful risk that NTIC may be acquired. Change in control benefits are intended to attract and retain qualified executives who, absent these arrangements and in anticipation of a possible change in control of NTIC, might consider seeking employment alternatives to be less risky than remaining with NTIC through the transaction. We believe that relative to NTIC’s overall value, our potential change in control benefits are relatively small. We also believe that the form and amount of these change in control benefits are fair and reasonable to both NTIC and our executives. The Compensation Committee reviews our change of control arrangements periodically to ensure that they remain necessary and appropriate.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Other Severance Arrangements</w:t>
      </w:r>
      <w:r>
        <w:rPr>
          <w:rFonts w:ascii="Times New Roman" w:cs="Times New Roman" w:eastAsia="Times New Roman" w:hAnsi="Times New Roman"/>
          <w:sz w:val="18"/>
          <w:szCs w:val="18"/>
          <w:color w:val="auto"/>
        </w:rPr>
        <w:t>. Each of our named executive officers is entitled to receive severance benefits upon certain other qualifying terminations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other than a change in control, pursuant to the provisions of such executive’s employment agreement. These severance arrangements are primarily intended to retain our executives and provide consideration to those executives for certain restrictive covenants that apply following termination of employment. Additionally, we entered into the employment agreements because they provide us valuable protection by subjecting the executives to restrictive covenants that prohibit the disclosure of confidential information during and following their employment and limit their ability to engage in competition with us or otherwise interfere with our business relationships following their termination of employment. For more information on our employment agreements and severance arrangements with our named executive officers, see the discussions below under “—</w:t>
      </w:r>
      <w:r>
        <w:rPr>
          <w:rFonts w:ascii="Times New Roman" w:cs="Times New Roman" w:eastAsia="Times New Roman" w:hAnsi="Times New Roman"/>
          <w:sz w:val="18"/>
          <w:szCs w:val="18"/>
          <w:i w:val="1"/>
          <w:iCs w:val="1"/>
          <w:color w:val="auto"/>
        </w:rPr>
        <w:t>Summary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Potential Payments Upon a Termination or Change in Control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that the form and amount of these severance benefits are fair and reasonable to both NTIC and our executives. The Compensation Committee reviews our severance arrangements periodically to ensure that they remain necessary and appropriate.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maintain stock ownership guidelines that are intended to align the interests of our executive officers with those of our stockholders. As of the date of this proxy statement, each of our executive officers required to meet the stock ownership guidelines had met such guideline. The stock ownership guidelines for our executive officers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Borders>
              <w:bottom w:val="single" w:sz="8" w:color="auto"/>
            </w:tcBorders>
            <w:shd w:val="clear" w:color="auto" w:fill="DDDDDD"/>
          </w:tcPr>
          <w:p>
            <w:pPr>
              <w:ind w:left="26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740" w:type="dxa"/>
            <w:vAlign w:val="bottom"/>
            <w:tcBorders>
              <w:bottom w:val="single" w:sz="8" w:color="auto"/>
            </w:tcBorders>
            <w:shd w:val="clear" w:color="auto" w:fill="DDDDDD"/>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Guideline</w:t>
            </w:r>
          </w:p>
        </w:tc>
      </w:tr>
      <w:tr>
        <w:trPr>
          <w:trHeight w:val="210"/>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7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6x annual base salary</w:t>
            </w:r>
          </w:p>
        </w:tc>
      </w:tr>
      <w:tr>
        <w:trPr>
          <w:trHeight w:val="209"/>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57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3x annual base salary</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Policies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insider trading policy prohibits NTIC directors, officers, employees, consultants and their immediate family members, other household members and controlled entities from engaging in hedging or monetization transactions that hedge or offset, or are designed to hedge or offset, any decrease in the market value of NTIC securities, including, without limitation, prepaid variable forward contracts, equity swaps, collars and exchange funds. In addition, our insider trading policy limits the ability of the individuals listed above to pledge NTIC securities. NTIC securities may only be pledged in an insignificant manner if the individual has a compelling reason for the pledge and is able to demonstrate the financial capacity to repay the loan without resort to the pledged securities. The proposed transaction must be submitted at least two weeks prior to its proposed execution in order for the Chief Financial Officer to review and approve the transaction.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maintain a robust, Nasdaq-compliant clawback policy pursuant to which we are required to recover erroneously paid compensation from current or former executive officers in the event of certain financial restatements as provided under the Nasdaq rules. This policy also provides that we may recover certain incentive compensation, including all equity awards, if a financial metric used to determine the vesting or payment of compensation was calculated incorrectly, whether or not a restatement occurs, or if an executive engages in egregious conduct that is substantially detrimental to NTIC. In addition, our stock incentive plan and related award agreements include a “clawback” mechanism to recoup incentive compensation if it is determined that executives engaged in certain conduct adverse to our interests.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Summary of Cash and Other Compensation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table below provides summary information concerning all compensation awarded to, earned by or paid to named executive officers. G. Patrick Lynch, our President and Chief Executive Officer, serves as our principal executive officer, and Matthew C. Wolsfeld, our Chief Financial Officer and Corporate Secretary, serves as our principal financial officer. Mr. Lynch and Mr. Wolsfeld are the only two individuals who have been designated by our Board of Directors as “executive officers” of NTIC.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SUMMARY COMPENSATION TABLE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0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300" w:type="dxa"/>
            <w:vAlign w:val="bottom"/>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12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r>
      <w:tr>
        <w:trPr>
          <w:trHeight w:val="216"/>
        </w:trPr>
        <w:tc>
          <w:tcPr>
            <w:tcW w:w="30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0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80" w:type="dxa"/>
            <w:vAlign w:val="bottom"/>
            <w:shd w:val="clear" w:color="auto" w:fill="DDDDDD"/>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00" w:type="dxa"/>
            <w:vAlign w:val="bottom"/>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1220" w:type="dxa"/>
            <w:vAlign w:val="bottom"/>
            <w:shd w:val="clear" w:color="auto" w:fill="DDDDDD"/>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000" w:type="dxa"/>
            <w:vAlign w:val="bottom"/>
            <w:shd w:val="clear" w:color="auto" w:fill="DDDDDD"/>
          </w:tcPr>
          <w:p>
            <w:pPr>
              <w:spacing w:after="0"/>
              <w:rPr>
                <w:sz w:val="18"/>
                <w:szCs w:val="18"/>
                <w:color w:val="auto"/>
              </w:rPr>
            </w:pPr>
          </w:p>
        </w:tc>
      </w:tr>
      <w:tr>
        <w:trPr>
          <w:trHeight w:val="238"/>
        </w:trPr>
        <w:tc>
          <w:tcPr>
            <w:tcW w:w="308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Borders>
              <w:bottom w:val="single" w:sz="8" w:color="DDDDDD"/>
            </w:tcBorders>
            <w:shd w:val="clear" w:color="auto" w:fill="DDDDDD"/>
          </w:tcPr>
          <w:p>
            <w:pPr>
              <w:spacing w:after="0"/>
              <w:rPr>
                <w:sz w:val="20"/>
                <w:szCs w:val="20"/>
                <w:color w:val="auto"/>
              </w:rPr>
            </w:pPr>
          </w:p>
        </w:tc>
        <w:tc>
          <w:tcPr>
            <w:tcW w:w="110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1020" w:type="dxa"/>
            <w:vAlign w:val="bottom"/>
            <w:tcBorders>
              <w:bottom w:val="single" w:sz="8" w:color="auto"/>
            </w:tcBorders>
            <w:shd w:val="clear" w:color="auto" w:fill="DDDDDD"/>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080" w:type="dxa"/>
            <w:vAlign w:val="bottom"/>
            <w:tcBorders>
              <w:bottom w:val="single" w:sz="8" w:color="auto"/>
            </w:tcBorders>
            <w:shd w:val="clear" w:color="auto" w:fill="DDDDDD"/>
          </w:tcPr>
          <w:p>
            <w:pPr>
              <w:jc w:val="right"/>
              <w:ind w:right="191"/>
              <w:spacing w:after="0" w:line="239" w:lineRule="exact"/>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27"/>
                <w:szCs w:val="27"/>
                <w:b w:val="1"/>
                <w:bCs w:val="1"/>
                <w:color w:val="auto"/>
                <w:vertAlign w:val="superscript"/>
              </w:rPr>
              <w:t>(1)</w:t>
            </w:r>
          </w:p>
        </w:tc>
        <w:tc>
          <w:tcPr>
            <w:tcW w:w="100" w:type="dxa"/>
            <w:vAlign w:val="bottom"/>
            <w:tcBorders>
              <w:bottom w:val="single" w:sz="8" w:color="DDDDDD"/>
            </w:tcBorders>
            <w:shd w:val="clear" w:color="auto" w:fill="DDDDDD"/>
          </w:tcPr>
          <w:p>
            <w:pPr>
              <w:spacing w:after="0"/>
              <w:rPr>
                <w:sz w:val="20"/>
                <w:szCs w:val="20"/>
                <w:color w:val="auto"/>
              </w:rPr>
            </w:pPr>
          </w:p>
        </w:tc>
        <w:tc>
          <w:tcPr>
            <w:tcW w:w="1400" w:type="dxa"/>
            <w:vAlign w:val="bottom"/>
            <w:tcBorders>
              <w:bottom w:val="single" w:sz="8" w:color="auto"/>
            </w:tcBorders>
            <w:gridSpan w:val="2"/>
            <w:shd w:val="clear" w:color="auto" w:fill="DDDDDD"/>
          </w:tcPr>
          <w:p>
            <w:pPr>
              <w:jc w:val="center"/>
              <w:ind w:right="10"/>
              <w:spacing w:after="0" w:line="23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7"/>
                <w:szCs w:val="27"/>
                <w:b w:val="1"/>
                <w:bCs w:val="1"/>
                <w:color w:val="auto"/>
                <w:vertAlign w:val="superscript"/>
              </w:rPr>
              <w:t>(2)</w:t>
            </w:r>
          </w:p>
        </w:tc>
        <w:tc>
          <w:tcPr>
            <w:tcW w:w="100" w:type="dxa"/>
            <w:vAlign w:val="bottom"/>
            <w:tcBorders>
              <w:bottom w:val="single" w:sz="8" w:color="DDDDDD"/>
            </w:tcBorders>
            <w:shd w:val="clear" w:color="auto" w:fill="DDDDDD"/>
          </w:tcPr>
          <w:p>
            <w:pPr>
              <w:spacing w:after="0"/>
              <w:rPr>
                <w:sz w:val="20"/>
                <w:szCs w:val="20"/>
                <w:color w:val="auto"/>
              </w:rPr>
            </w:pPr>
          </w:p>
        </w:tc>
        <w:tc>
          <w:tcPr>
            <w:tcW w:w="1400" w:type="dxa"/>
            <w:vAlign w:val="bottom"/>
            <w:tcBorders>
              <w:bottom w:val="single" w:sz="8" w:color="auto"/>
            </w:tcBorders>
            <w:gridSpan w:val="2"/>
            <w:shd w:val="clear" w:color="auto" w:fill="DDDDDD"/>
          </w:tcPr>
          <w:p>
            <w:pPr>
              <w:jc w:val="right"/>
              <w:ind w:right="10"/>
              <w:spacing w:after="0" w:line="239" w:lineRule="exact"/>
              <w:rPr>
                <w:sz w:val="20"/>
                <w:szCs w:val="20"/>
                <w:color w:val="auto"/>
              </w:rPr>
            </w:pP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27"/>
                <w:szCs w:val="27"/>
                <w:b w:val="1"/>
                <w:bCs w:val="1"/>
                <w:color w:val="auto"/>
                <w:vertAlign w:val="superscript"/>
              </w:rPr>
              <w:t>(3)</w:t>
            </w:r>
          </w:p>
        </w:tc>
        <w:tc>
          <w:tcPr>
            <w:tcW w:w="10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 Patrick Lynch</w:t>
            </w:r>
          </w:p>
        </w:tc>
        <w:tc>
          <w:tcPr>
            <w:tcW w:w="12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523,754</w:t>
            </w:r>
          </w:p>
        </w:tc>
        <w:tc>
          <w:tcPr>
            <w:tcW w:w="2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224,768</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23,759</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13,102</w:t>
            </w:r>
          </w:p>
        </w:tc>
        <w:tc>
          <w:tcPr>
            <w:tcW w:w="32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785,383</w:t>
            </w:r>
          </w:p>
        </w:tc>
      </w:tr>
      <w:tr>
        <w:trPr>
          <w:trHeight w:val="218"/>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946,597</w:t>
            </w: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583,692</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3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169,054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702,848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7" w:lineRule="exact"/>
        <w:rPr>
          <w:sz w:val="20"/>
          <w:szCs w:val="20"/>
          <w:color w:val="auto"/>
        </w:rPr>
      </w:pPr>
    </w:p>
    <w:p>
      <w:pPr>
        <w:ind w:left="660" w:right="20" w:hanging="652"/>
        <w:spacing w:after="0" w:line="252" w:lineRule="auto"/>
        <w:tabs>
          <w:tab w:leader="none" w:pos="6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2024, each of the named executive officers was granted a stock option under the Northern Technologies International Corporation 2024 Stock Incentive Plan. We refer you to the information under the heading “</w:t>
      </w:r>
      <w:r>
        <w:rPr>
          <w:rFonts w:ascii="Times New Roman" w:cs="Times New Roman" w:eastAsia="Times New Roman" w:hAnsi="Times New Roman"/>
          <w:sz w:val="18"/>
          <w:szCs w:val="18"/>
          <w:i w:val="1"/>
          <w:iCs w:val="1"/>
          <w:color w:val="auto"/>
        </w:rPr>
        <w:t>Compensation Review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Elements of Our 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Long-Term Equity-Based Incentive Compensation</w:t>
      </w:r>
      <w:r>
        <w:rPr>
          <w:rFonts w:ascii="Times New Roman" w:cs="Times New Roman" w:eastAsia="Times New Roman" w:hAnsi="Times New Roman"/>
          <w:sz w:val="18"/>
          <w:szCs w:val="18"/>
          <w:color w:val="auto"/>
        </w:rPr>
        <w:t>” for a discussion of the option grants and their terms. The amounts reflected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column entitled “Option Awards” for each officer represent the aggregate grant date fair value for the option awards, as computed in accordance with FASB ASC Topic 718. The grant date fair value is determined based on a Black-Scholes option pricing model. The grant date fair value per share for the options granted on September 1, 2024 was $5.07 and was determined using the following specific assumptions: risk free interest rate: 3.66%; expected life: 10.0 years; expected volatility: 47.4%; and expected dividend yield: 0%.</w:t>
      </w:r>
    </w:p>
    <w:p>
      <w:pPr>
        <w:spacing w:after="0" w:line="188" w:lineRule="exact"/>
        <w:rPr>
          <w:rFonts w:ascii="Times New Roman" w:cs="Times New Roman" w:eastAsia="Times New Roman" w:hAnsi="Times New Roman"/>
          <w:sz w:val="18"/>
          <w:szCs w:val="18"/>
          <w:color w:val="auto"/>
        </w:rPr>
      </w:pPr>
    </w:p>
    <w:p>
      <w:pPr>
        <w:ind w:left="660" w:right="200" w:hanging="652"/>
        <w:spacing w:after="0" w:line="258" w:lineRule="auto"/>
        <w:tabs>
          <w:tab w:leader="none" w:pos="62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the column entitled “Non-Equity Incentive Plan Compensation” reflect the cash amount of bonus earned by each of the officers in consideration for their fiscal 2025 and 2024 performance, respectively, but paid to such officers during fiscal 2026 and 2025, respectively. We refer you to the information under “</w:t>
      </w:r>
      <w:r>
        <w:rPr>
          <w:rFonts w:ascii="Times New Roman" w:cs="Times New Roman" w:eastAsia="Times New Roman" w:hAnsi="Times New Roman"/>
          <w:sz w:val="18"/>
          <w:szCs w:val="18"/>
          <w:i w:val="1"/>
          <w:iCs w:val="1"/>
          <w:color w:val="auto"/>
        </w:rPr>
        <w:t>Compensation Review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Elements of Our Executive Compensation Program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 for a discussion of the factors taken into consideration by the Board of Directors, upon recommendation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in determining the amount of bonus paid to each named executive officer.</w:t>
      </w:r>
    </w:p>
    <w:p>
      <w:pPr>
        <w:spacing w:after="0" w:line="183"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2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column entitled “All Other Compensation” for fiscal 2025 include the following with respect to each named executive officer: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shd w:val="clear" w:color="auto" w:fill="DDDDDD"/>
          </w:tcPr>
          <w:p>
            <w:pPr>
              <w:spacing w:after="0"/>
              <w:rPr>
                <w:sz w:val="18"/>
                <w:szCs w:val="18"/>
                <w:color w:val="auto"/>
              </w:rPr>
            </w:pPr>
          </w:p>
        </w:tc>
        <w:tc>
          <w:tcPr>
            <w:tcW w:w="43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20" w:type="dxa"/>
            <w:vAlign w:val="bottom"/>
            <w:shd w:val="clear" w:color="auto" w:fill="DDDDDD"/>
          </w:tcPr>
          <w:p>
            <w:pPr>
              <w:ind w:left="500"/>
              <w:spacing w:after="0"/>
              <w:rPr>
                <w:sz w:val="20"/>
                <w:szCs w:val="20"/>
                <w:color w:val="auto"/>
              </w:rPr>
            </w:pPr>
            <w:r>
              <w:rPr>
                <w:rFonts w:ascii="Times New Roman" w:cs="Times New Roman" w:eastAsia="Times New Roman" w:hAnsi="Times New Roman"/>
                <w:sz w:val="18"/>
                <w:szCs w:val="18"/>
                <w:b w:val="1"/>
                <w:bCs w:val="1"/>
                <w:color w:val="auto"/>
              </w:rPr>
              <w:t>401(k)</w:t>
            </w:r>
          </w:p>
        </w:tc>
        <w:tc>
          <w:tcPr>
            <w:tcW w:w="5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400" w:type="dxa"/>
            <w:vAlign w:val="bottom"/>
            <w:shd w:val="clear" w:color="auto" w:fill="DDDDDD"/>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Personal Use</w:t>
            </w:r>
          </w:p>
        </w:tc>
      </w:tr>
      <w:tr>
        <w:trPr>
          <w:trHeight w:val="238"/>
        </w:trPr>
        <w:tc>
          <w:tcPr>
            <w:tcW w:w="35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40" w:type="dxa"/>
            <w:vAlign w:val="bottom"/>
            <w:tcBorders>
              <w:bottom w:val="single" w:sz="8" w:color="auto"/>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1020" w:type="dxa"/>
            <w:vAlign w:val="bottom"/>
            <w:tcBorders>
              <w:bottom w:val="single" w:sz="8" w:color="auto"/>
            </w:tcBorders>
            <w:shd w:val="clear" w:color="auto" w:fill="DDDDDD"/>
          </w:tcPr>
          <w:p>
            <w:pPr>
              <w:ind w:left="480"/>
              <w:spacing w:after="0"/>
              <w:rPr>
                <w:sz w:val="20"/>
                <w:szCs w:val="20"/>
                <w:color w:val="auto"/>
              </w:rPr>
            </w:pPr>
            <w:r>
              <w:rPr>
                <w:rFonts w:ascii="Times New Roman" w:cs="Times New Roman" w:eastAsia="Times New Roman" w:hAnsi="Times New Roman"/>
                <w:sz w:val="18"/>
                <w:szCs w:val="18"/>
                <w:b w:val="1"/>
                <w:bCs w:val="1"/>
                <w:color w:val="auto"/>
              </w:rPr>
              <w:t>Match</w:t>
            </w:r>
          </w:p>
        </w:tc>
        <w:tc>
          <w:tcPr>
            <w:tcW w:w="56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60" w:type="dxa"/>
            <w:vAlign w:val="bottom"/>
            <w:tcBorders>
              <w:bottom w:val="single" w:sz="8" w:color="auto"/>
            </w:tcBorders>
            <w:shd w:val="clear" w:color="auto" w:fill="DDDDDD"/>
          </w:tcPr>
          <w:p>
            <w:pPr>
              <w:spacing w:after="0"/>
              <w:rPr>
                <w:sz w:val="20"/>
                <w:szCs w:val="20"/>
                <w:color w:val="auto"/>
              </w:rPr>
            </w:pPr>
          </w:p>
        </w:tc>
        <w:tc>
          <w:tcPr>
            <w:tcW w:w="1400" w:type="dxa"/>
            <w:vAlign w:val="bottom"/>
            <w:tcBorders>
              <w:bottom w:val="single" w:sz="8" w:color="auto"/>
            </w:tcBorders>
            <w:shd w:val="clear" w:color="auto" w:fill="DDDDDD"/>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of Auto</w:t>
            </w: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c>
          <w:tcPr>
            <w:tcW w:w="5480" w:type="dxa"/>
            <w:vAlign w:val="bottom"/>
            <w:gridSpan w:val="3"/>
          </w:tcPr>
          <w:p>
            <w:pPr>
              <w:jc w:val="right"/>
              <w:ind w:right="8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8,750</w:t>
            </w:r>
          </w:p>
        </w:tc>
        <w:tc>
          <w:tcPr>
            <w:tcW w:w="26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4,352</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4,125</w:t>
            </w:r>
          </w:p>
        </w:tc>
      </w:tr>
      <w:tr>
        <w:trPr>
          <w:trHeight w:val="432"/>
        </w:trPr>
        <w:tc>
          <w:tcPr>
            <w:tcW w:w="3540" w:type="dxa"/>
            <w:vAlign w:val="bottom"/>
          </w:tcPr>
          <w:p>
            <w:pPr>
              <w:spacing w:after="0"/>
              <w:rPr>
                <w:sz w:val="24"/>
                <w:szCs w:val="24"/>
                <w:color w:val="auto"/>
              </w:rPr>
            </w:pPr>
          </w:p>
        </w:tc>
        <w:tc>
          <w:tcPr>
            <w:tcW w:w="43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table set forth below provides information regarding stock options for each of our named executive officers that remained outstanding at August 31, 2025. Note that because of the grant date, the table set forth below does not reflect option grants on September 1, 2025. We did not have any equity incentive plan awards or stock awards outstanding at August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6720" w:type="dxa"/>
            <w:vAlign w:val="bottom"/>
            <w:gridSpan w:val="7"/>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2025</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3440" w:type="dxa"/>
            <w:vAlign w:val="bottom"/>
            <w:tcBorders>
              <w:bottom w:val="single" w:sz="8" w:color="auto"/>
            </w:tcBorders>
            <w:gridSpan w:val="3"/>
            <w:shd w:val="clear" w:color="auto" w:fill="DDDDDD"/>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Borders>
              <w:bottom w:val="single" w:sz="8" w:color="auto"/>
            </w:tcBorders>
            <w:shd w:val="clear" w:color="auto" w:fill="DDDDDD"/>
          </w:tcPr>
          <w:p>
            <w:pPr>
              <w:spacing w:after="0"/>
              <w:rPr>
                <w:sz w:val="18"/>
                <w:szCs w:val="18"/>
                <w:color w:val="auto"/>
              </w:rPr>
            </w:pPr>
          </w:p>
        </w:tc>
        <w:tc>
          <w:tcPr>
            <w:tcW w:w="1960" w:type="dxa"/>
            <w:vAlign w:val="bottom"/>
            <w:tcBorders>
              <w:bottom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460" w:type="dxa"/>
            <w:vAlign w:val="bottom"/>
            <w:shd w:val="clear" w:color="auto" w:fill="DDDDDD"/>
          </w:tcPr>
          <w:p>
            <w:pPr>
              <w:spacing w:after="0"/>
              <w:rPr>
                <w:sz w:val="16"/>
                <w:szCs w:val="16"/>
                <w:color w:val="auto"/>
              </w:rPr>
            </w:pPr>
          </w:p>
        </w:tc>
        <w:tc>
          <w:tcPr>
            <w:tcW w:w="15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560" w:type="dxa"/>
            <w:vAlign w:val="bottom"/>
            <w:shd w:val="clear" w:color="auto" w:fill="DDDDDD"/>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shd w:val="clear" w:color="auto" w:fill="DDDDDD"/>
          </w:tcPr>
          <w:p>
            <w:pPr>
              <w:spacing w:after="0"/>
              <w:rPr>
                <w:sz w:val="16"/>
                <w:szCs w:val="16"/>
                <w:color w:val="auto"/>
              </w:rPr>
            </w:pPr>
          </w:p>
        </w:tc>
        <w:tc>
          <w:tcPr>
            <w:tcW w:w="17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5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9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6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shd w:val="clear" w:color="auto" w:fill="DDDDDD"/>
          </w:tcPr>
          <w:p>
            <w:pPr>
              <w:spacing w:after="0"/>
              <w:rPr>
                <w:sz w:val="18"/>
                <w:szCs w:val="18"/>
                <w:color w:val="auto"/>
              </w:rPr>
            </w:pPr>
          </w:p>
        </w:tc>
        <w:tc>
          <w:tcPr>
            <w:tcW w:w="1780" w:type="dxa"/>
            <w:vAlign w:val="bottom"/>
            <w:shd w:val="clear" w:color="auto" w:fill="DDDDDD"/>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2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9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6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shd w:val="clear" w:color="auto" w:fill="DDDDDD"/>
          </w:tcPr>
          <w:p>
            <w:pPr>
              <w:spacing w:after="0"/>
              <w:rPr>
                <w:sz w:val="18"/>
                <w:szCs w:val="18"/>
                <w:color w:val="auto"/>
              </w:rPr>
            </w:pPr>
          </w:p>
        </w:tc>
        <w:tc>
          <w:tcPr>
            <w:tcW w:w="1780" w:type="dxa"/>
            <w:vAlign w:val="bottom"/>
            <w:shd w:val="clear" w:color="auto" w:fill="DDDDDD"/>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9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6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shd w:val="clear" w:color="auto" w:fill="DDDDDD"/>
          </w:tcPr>
          <w:p>
            <w:pPr>
              <w:spacing w:after="0"/>
              <w:rPr>
                <w:sz w:val="18"/>
                <w:szCs w:val="18"/>
                <w:color w:val="auto"/>
              </w:rPr>
            </w:pPr>
          </w:p>
        </w:tc>
        <w:tc>
          <w:tcPr>
            <w:tcW w:w="1780" w:type="dxa"/>
            <w:vAlign w:val="bottom"/>
            <w:shd w:val="clear" w:color="auto" w:fill="DDDDDD"/>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120" w:type="dxa"/>
            <w:vAlign w:val="bottom"/>
            <w:shd w:val="clear" w:color="auto" w:fill="DDDDDD"/>
          </w:tcPr>
          <w:p>
            <w:pPr>
              <w:spacing w:after="0"/>
              <w:rPr>
                <w:sz w:val="18"/>
                <w:szCs w:val="18"/>
                <w:color w:val="auto"/>
              </w:rPr>
            </w:pPr>
          </w:p>
        </w:tc>
        <w:tc>
          <w:tcPr>
            <w:tcW w:w="15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9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56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880" w:type="dxa"/>
            <w:vAlign w:val="bottom"/>
            <w:gridSpan w:val="2"/>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shd w:val="clear" w:color="auto" w:fill="DDDDDD"/>
          </w:tcPr>
          <w:p>
            <w:pPr>
              <w:spacing w:after="0"/>
              <w:rPr>
                <w:sz w:val="18"/>
                <w:szCs w:val="18"/>
                <w:color w:val="auto"/>
              </w:rPr>
            </w:pPr>
          </w:p>
        </w:tc>
        <w:tc>
          <w:tcPr>
            <w:tcW w:w="1540" w:type="dxa"/>
            <w:vAlign w:val="bottom"/>
            <w:shd w:val="clear" w:color="auto" w:fill="DDDDDD"/>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Option Exercise</w:t>
            </w:r>
          </w:p>
        </w:tc>
        <w:tc>
          <w:tcPr>
            <w:tcW w:w="100" w:type="dxa"/>
            <w:vAlign w:val="bottom"/>
            <w:shd w:val="clear" w:color="auto" w:fill="DDDDDD"/>
          </w:tcPr>
          <w:p>
            <w:pPr>
              <w:spacing w:after="0"/>
              <w:rPr>
                <w:sz w:val="18"/>
                <w:szCs w:val="18"/>
                <w:color w:val="auto"/>
              </w:rPr>
            </w:pPr>
          </w:p>
        </w:tc>
        <w:tc>
          <w:tcPr>
            <w:tcW w:w="19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6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560" w:type="dxa"/>
            <w:vAlign w:val="bottom"/>
            <w:tcBorders>
              <w:bottom w:val="single" w:sz="8" w:color="auto"/>
            </w:tcBorders>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00" w:type="dxa"/>
            <w:vAlign w:val="bottom"/>
            <w:tcBorders>
              <w:bottom w:val="single" w:sz="8" w:color="DDDDDD"/>
            </w:tcBorders>
            <w:shd w:val="clear" w:color="auto" w:fill="DDDDDD"/>
          </w:tcPr>
          <w:p>
            <w:pPr>
              <w:spacing w:after="0"/>
              <w:rPr>
                <w:sz w:val="20"/>
                <w:szCs w:val="20"/>
                <w:color w:val="auto"/>
              </w:rPr>
            </w:pPr>
          </w:p>
        </w:tc>
        <w:tc>
          <w:tcPr>
            <w:tcW w:w="1780" w:type="dxa"/>
            <w:vAlign w:val="bottom"/>
            <w:tcBorders>
              <w:bottom w:val="single" w:sz="8" w:color="auto"/>
            </w:tcBorders>
            <w:shd w:val="clear" w:color="auto" w:fill="DDDDDD"/>
          </w:tcPr>
          <w:p>
            <w:pPr>
              <w:jc w:val="center"/>
              <w:ind w:right="11"/>
              <w:spacing w:after="0" w:line="239" w:lineRule="exact"/>
              <w:rPr>
                <w:sz w:val="20"/>
                <w:szCs w:val="20"/>
                <w:color w:val="auto"/>
              </w:rPr>
            </w:pPr>
            <w:r>
              <w:rPr>
                <w:rFonts w:ascii="Times New Roman" w:cs="Times New Roman" w:eastAsia="Times New Roman" w:hAnsi="Times New Roman"/>
                <w:sz w:val="17"/>
                <w:szCs w:val="17"/>
                <w:b w:val="1"/>
                <w:bCs w:val="1"/>
                <w:color w:val="auto"/>
              </w:rPr>
              <w:t>Unexercisable</w:t>
            </w:r>
            <w:r>
              <w:rPr>
                <w:rFonts w:ascii="Times New Roman" w:cs="Times New Roman" w:eastAsia="Times New Roman" w:hAnsi="Times New Roman"/>
                <w:sz w:val="27"/>
                <w:szCs w:val="27"/>
                <w:b w:val="1"/>
                <w:bCs w:val="1"/>
                <w:color w:val="auto"/>
                <w:vertAlign w:val="superscript"/>
              </w:rPr>
              <w:t>(1)</w:t>
            </w:r>
          </w:p>
        </w:tc>
        <w:tc>
          <w:tcPr>
            <w:tcW w:w="120" w:type="dxa"/>
            <w:vAlign w:val="bottom"/>
            <w:tcBorders>
              <w:bottom w:val="single" w:sz="8" w:color="DDDDDD"/>
            </w:tcBorders>
            <w:shd w:val="clear" w:color="auto" w:fill="DDDDDD"/>
          </w:tcPr>
          <w:p>
            <w:pPr>
              <w:spacing w:after="0"/>
              <w:rPr>
                <w:sz w:val="20"/>
                <w:szCs w:val="20"/>
                <w:color w:val="auto"/>
              </w:rPr>
            </w:pPr>
          </w:p>
        </w:tc>
        <w:tc>
          <w:tcPr>
            <w:tcW w:w="1540" w:type="dxa"/>
            <w:vAlign w:val="bottom"/>
            <w:tcBorders>
              <w:bottom w:val="single" w:sz="8" w:color="auto"/>
            </w:tcBorders>
            <w:shd w:val="clear" w:color="auto" w:fill="DDDDDD"/>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Borders>
              <w:bottom w:val="single" w:sz="8" w:color="DDDDDD"/>
            </w:tcBorders>
            <w:shd w:val="clear" w:color="auto" w:fill="DDDDDD"/>
          </w:tcPr>
          <w:p>
            <w:pPr>
              <w:spacing w:after="0"/>
              <w:rPr>
                <w:sz w:val="20"/>
                <w:szCs w:val="20"/>
                <w:color w:val="auto"/>
              </w:rPr>
            </w:pPr>
          </w:p>
        </w:tc>
        <w:tc>
          <w:tcPr>
            <w:tcW w:w="1960" w:type="dxa"/>
            <w:vAlign w:val="bottom"/>
            <w:tcBorders>
              <w:bottom w:val="single" w:sz="8" w:color="auto"/>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Expiration Date</w:t>
            </w:r>
          </w:p>
        </w:tc>
        <w:tc>
          <w:tcPr>
            <w:tcW w:w="0" w:type="dxa"/>
            <w:vAlign w:val="bottom"/>
          </w:tcPr>
          <w:p>
            <w:pPr>
              <w:spacing w:after="0"/>
              <w:rPr>
                <w:sz w:val="1"/>
                <w:szCs w:val="1"/>
                <w:color w:val="auto"/>
              </w:rPr>
            </w:pPr>
          </w:p>
        </w:tc>
      </w:tr>
      <w:tr>
        <w:trPr>
          <w:trHeight w:val="191"/>
        </w:trPr>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c>
          <w:tcPr>
            <w:tcW w:w="1520" w:type="dxa"/>
            <w:vAlign w:val="bottom"/>
          </w:tcPr>
          <w:p>
            <w:pPr>
              <w:spacing w:after="0"/>
              <w:rPr>
                <w:sz w:val="16"/>
                <w:szCs w:val="16"/>
                <w:color w:val="auto"/>
              </w:rPr>
            </w:pPr>
          </w:p>
        </w:tc>
        <w:tc>
          <w:tcPr>
            <w:tcW w:w="166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16,072</w:t>
            </w:r>
          </w:p>
        </w:tc>
        <w:tc>
          <w:tcPr>
            <w:tcW w:w="1880" w:type="dxa"/>
            <w:vAlign w:val="bottom"/>
            <w:gridSpan w:val="2"/>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6.70</w:t>
            </w:r>
          </w:p>
        </w:tc>
        <w:tc>
          <w:tcPr>
            <w:tcW w:w="2060" w:type="dxa"/>
            <w:vAlign w:val="bottom"/>
            <w:gridSpan w:val="2"/>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08/31/2026</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11,704</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08/31/2027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27,596</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18.23</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08/31/2028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58,651</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08/31/2029</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74,742</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32,540</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31,678</w:t>
            </w:r>
          </w:p>
        </w:tc>
        <w:tc>
          <w:tcPr>
            <w:tcW w:w="1880" w:type="dxa"/>
            <w:vAlign w:val="bottom"/>
            <w:gridSpan w:val="2"/>
          </w:tcPr>
          <w:p>
            <w:pPr>
              <w:jc w:val="right"/>
              <w:ind w:right="31"/>
              <w:spacing w:after="0" w:line="216" w:lineRule="exact"/>
              <w:rPr>
                <w:sz w:val="20"/>
                <w:szCs w:val="20"/>
                <w:color w:val="auto"/>
              </w:rPr>
            </w:pPr>
            <w:r>
              <w:rPr>
                <w:rFonts w:ascii="Times New Roman" w:cs="Times New Roman" w:eastAsia="Times New Roman" w:hAnsi="Times New Roman"/>
                <w:sz w:val="16"/>
                <w:szCs w:val="16"/>
                <w:color w:val="auto"/>
              </w:rPr>
              <w:t>15,839</w:t>
            </w:r>
            <w:r>
              <w:rPr>
                <w:rFonts w:ascii="Times New Roman" w:cs="Times New Roman" w:eastAsia="Times New Roman" w:hAnsi="Times New Roman"/>
                <w:sz w:val="25"/>
                <w:szCs w:val="25"/>
                <w:color w:val="auto"/>
                <w:vertAlign w:val="superscript"/>
              </w:rPr>
              <w:t>(2)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15,127</w:t>
            </w:r>
          </w:p>
        </w:tc>
        <w:tc>
          <w:tcPr>
            <w:tcW w:w="1880" w:type="dxa"/>
            <w:vAlign w:val="bottom"/>
            <w:gridSpan w:val="2"/>
          </w:tcPr>
          <w:p>
            <w:pPr>
              <w:jc w:val="right"/>
              <w:ind w:right="31"/>
              <w:spacing w:after="0" w:line="216" w:lineRule="exact"/>
              <w:rPr>
                <w:sz w:val="20"/>
                <w:szCs w:val="20"/>
                <w:color w:val="auto"/>
              </w:rPr>
            </w:pPr>
            <w:r>
              <w:rPr>
                <w:rFonts w:ascii="Times New Roman" w:cs="Times New Roman" w:eastAsia="Times New Roman" w:hAnsi="Times New Roman"/>
                <w:sz w:val="16"/>
                <w:szCs w:val="16"/>
                <w:color w:val="auto"/>
              </w:rPr>
              <w:t>30,254</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08/31/2033</w:t>
            </w:r>
          </w:p>
        </w:tc>
        <w:tc>
          <w:tcPr>
            <w:tcW w:w="0" w:type="dxa"/>
            <w:vAlign w:val="bottom"/>
          </w:tcPr>
          <w:p>
            <w:pPr>
              <w:spacing w:after="0"/>
              <w:rPr>
                <w:sz w:val="1"/>
                <w:szCs w:val="1"/>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tcBorders>
              <w:bottom w:val="single" w:sz="8" w:color="auto"/>
            </w:tcBorders>
            <w:gridSpan w:val="2"/>
          </w:tcPr>
          <w:p>
            <w:pPr>
              <w:jc w:val="right"/>
              <w:ind w:right="31"/>
              <w:spacing w:after="0" w:line="235" w:lineRule="exact"/>
              <w:rPr>
                <w:sz w:val="20"/>
                <w:szCs w:val="20"/>
                <w:color w:val="auto"/>
              </w:rPr>
            </w:pPr>
            <w:r>
              <w:rPr>
                <w:rFonts w:ascii="Times New Roman" w:cs="Times New Roman" w:eastAsia="Times New Roman" w:hAnsi="Times New Roman"/>
                <w:sz w:val="17"/>
                <w:szCs w:val="17"/>
                <w:color w:val="auto"/>
              </w:rPr>
              <w:t>44,858</w:t>
            </w:r>
            <w:r>
              <w:rPr>
                <w:rFonts w:ascii="Times New Roman" w:cs="Times New Roman" w:eastAsia="Times New Roman" w:hAnsi="Times New Roman"/>
                <w:sz w:val="27"/>
                <w:szCs w:val="27"/>
                <w:color w:val="auto"/>
                <w:vertAlign w:val="superscript"/>
              </w:rPr>
              <w:t>(4)</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13.26</w:t>
            </w:r>
          </w:p>
        </w:tc>
        <w:tc>
          <w:tcPr>
            <w:tcW w:w="206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08/31/2034</w:t>
            </w:r>
          </w:p>
        </w:tc>
        <w:tc>
          <w:tcPr>
            <w:tcW w:w="0" w:type="dxa"/>
            <w:vAlign w:val="bottom"/>
          </w:tcPr>
          <w:p>
            <w:pPr>
              <w:spacing w:after="0"/>
              <w:rPr>
                <w:sz w:val="1"/>
                <w:szCs w:val="1"/>
                <w:color w:val="auto"/>
              </w:rPr>
            </w:pPr>
          </w:p>
        </w:tc>
      </w:tr>
      <w:tr>
        <w:trPr>
          <w:trHeight w:val="191"/>
        </w:trPr>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w:t>
            </w:r>
          </w:p>
        </w:tc>
        <w:tc>
          <w:tcPr>
            <w:tcW w:w="3180" w:type="dxa"/>
            <w:vAlign w:val="bottom"/>
            <w:gridSpan w:val="3"/>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11,880</w:t>
            </w:r>
          </w:p>
        </w:tc>
        <w:tc>
          <w:tcPr>
            <w:tcW w:w="1880" w:type="dxa"/>
            <w:vAlign w:val="bottom"/>
            <w:gridSpan w:val="2"/>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6.70</w:t>
            </w:r>
          </w:p>
        </w:tc>
        <w:tc>
          <w:tcPr>
            <w:tcW w:w="2060" w:type="dxa"/>
            <w:vAlign w:val="bottom"/>
            <w:gridSpan w:val="2"/>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08/31/2026</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8,650</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08/31/2027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20,396</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18.23</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08/31/2028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43,351</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08/31/2029</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55,244</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24,051</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16.97</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23,414</w:t>
            </w:r>
          </w:p>
        </w:tc>
        <w:tc>
          <w:tcPr>
            <w:tcW w:w="1880" w:type="dxa"/>
            <w:vAlign w:val="bottom"/>
            <w:gridSpan w:val="2"/>
          </w:tcPr>
          <w:p>
            <w:pPr>
              <w:jc w:val="right"/>
              <w:ind w:right="31"/>
              <w:spacing w:after="0" w:line="216" w:lineRule="exact"/>
              <w:rPr>
                <w:sz w:val="20"/>
                <w:szCs w:val="20"/>
                <w:color w:val="auto"/>
              </w:rPr>
            </w:pPr>
            <w:r>
              <w:rPr>
                <w:rFonts w:ascii="Times New Roman" w:cs="Times New Roman" w:eastAsia="Times New Roman" w:hAnsi="Times New Roman"/>
                <w:sz w:val="16"/>
                <w:szCs w:val="16"/>
                <w:color w:val="auto"/>
              </w:rPr>
              <w:t>11,707</w:t>
            </w:r>
            <w:r>
              <w:rPr>
                <w:rFonts w:ascii="Times New Roman" w:cs="Times New Roman" w:eastAsia="Times New Roman" w:hAnsi="Times New Roman"/>
                <w:sz w:val="25"/>
                <w:szCs w:val="25"/>
                <w:color w:val="auto"/>
                <w:vertAlign w:val="superscript"/>
              </w:rPr>
              <w:t>(2)</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08/31/2032</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11,181</w:t>
            </w:r>
          </w:p>
        </w:tc>
        <w:tc>
          <w:tcPr>
            <w:tcW w:w="1880" w:type="dxa"/>
            <w:vAlign w:val="bottom"/>
            <w:gridSpan w:val="2"/>
          </w:tcPr>
          <w:p>
            <w:pPr>
              <w:jc w:val="right"/>
              <w:ind w:right="31"/>
              <w:spacing w:after="0" w:line="216" w:lineRule="exact"/>
              <w:rPr>
                <w:sz w:val="20"/>
                <w:szCs w:val="20"/>
                <w:color w:val="auto"/>
              </w:rPr>
            </w:pPr>
            <w:r>
              <w:rPr>
                <w:rFonts w:ascii="Times New Roman" w:cs="Times New Roman" w:eastAsia="Times New Roman" w:hAnsi="Times New Roman"/>
                <w:sz w:val="16"/>
                <w:szCs w:val="16"/>
                <w:color w:val="auto"/>
              </w:rPr>
              <w:t>22,362</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08/31/2033</w:t>
            </w:r>
          </w:p>
        </w:tc>
        <w:tc>
          <w:tcPr>
            <w:tcW w:w="0" w:type="dxa"/>
            <w:vAlign w:val="bottom"/>
          </w:tcPr>
          <w:p>
            <w:pPr>
              <w:spacing w:after="0"/>
              <w:rPr>
                <w:sz w:val="1"/>
                <w:szCs w:val="1"/>
                <w:color w:val="auto"/>
              </w:rPr>
            </w:pPr>
          </w:p>
        </w:tc>
      </w:tr>
      <w:tr>
        <w:trPr>
          <w:trHeight w:val="396"/>
        </w:trPr>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33,156</w:t>
            </w:r>
            <w:r>
              <w:rPr>
                <w:rFonts w:ascii="Times New Roman" w:cs="Times New Roman" w:eastAsia="Times New Roman" w:hAnsi="Times New Roman"/>
                <w:sz w:val="29"/>
                <w:szCs w:val="29"/>
                <w:color w:val="auto"/>
                <w:vertAlign w:val="superscript"/>
              </w:rPr>
              <w:t>(4)</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13.26</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08/31/2034</w:t>
            </w:r>
          </w:p>
        </w:tc>
        <w:tc>
          <w:tcPr>
            <w:tcW w:w="0" w:type="dxa"/>
            <w:vAlign w:val="bottom"/>
          </w:tcPr>
          <w:p>
            <w:pPr>
              <w:spacing w:after="0"/>
              <w:rPr>
                <w:sz w:val="1"/>
                <w:szCs w:val="1"/>
                <w:color w:val="auto"/>
              </w:rPr>
            </w:pPr>
          </w:p>
        </w:tc>
      </w:tr>
      <w:tr>
        <w:trPr>
          <w:trHeight w:val="54"/>
        </w:trPr>
        <w:tc>
          <w:tcPr>
            <w:tcW w:w="246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60" w:hanging="318"/>
        <w:spacing w:after="0" w:line="26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described in this table were granted under the Northern Technologies International Corporation 2019 Stock Incentive Plan or the Northern Technologies International Corporation Amended and Restated 2007 Stock Incentive Plan. Under these plans, upon the occurrence of a change in control, the unvested and unexercisable options will be accelerated and become fully vested and immediately exercisable as of the date of the change in control. For more information, we refer you to the discussion below under “—</w:t>
      </w:r>
      <w:r>
        <w:rPr>
          <w:rFonts w:ascii="Times New Roman" w:cs="Times New Roman" w:eastAsia="Times New Roman" w:hAnsi="Times New Roman"/>
          <w:sz w:val="18"/>
          <w:szCs w:val="18"/>
          <w:i w:val="1"/>
          <w:iCs w:val="1"/>
          <w:color w:val="auto"/>
        </w:rPr>
        <w:t>Stock Incentive Plans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380" w:right="180" w:hanging="318"/>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over a three-year period, with one-third of the underlying shares vesting on each of September 1, 2023, 2024 and 2025 so long as the individual remains an employee of NTIC as of such date.</w:t>
      </w:r>
    </w:p>
    <w:p>
      <w:pPr>
        <w:spacing w:after="0" w:line="161" w:lineRule="exact"/>
        <w:rPr>
          <w:rFonts w:ascii="Times New Roman" w:cs="Times New Roman" w:eastAsia="Times New Roman" w:hAnsi="Times New Roman"/>
          <w:sz w:val="18"/>
          <w:szCs w:val="18"/>
          <w:color w:val="auto"/>
        </w:rPr>
      </w:pPr>
    </w:p>
    <w:p>
      <w:pPr>
        <w:ind w:left="380" w:right="180" w:hanging="318"/>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over a three-year period, with one-third of the underlying shares vesting on each of September 1, 2024, 2025 and 2026 so long as the individual remains an employee of NTIC as of such date.</w:t>
      </w:r>
    </w:p>
    <w:p>
      <w:pPr>
        <w:spacing w:after="0" w:line="161" w:lineRule="exact"/>
        <w:rPr>
          <w:rFonts w:ascii="Times New Roman" w:cs="Times New Roman" w:eastAsia="Times New Roman" w:hAnsi="Times New Roman"/>
          <w:sz w:val="18"/>
          <w:szCs w:val="18"/>
          <w:color w:val="auto"/>
        </w:rPr>
      </w:pPr>
    </w:p>
    <w:p>
      <w:pPr>
        <w:ind w:left="380" w:right="180" w:hanging="318"/>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over a three-year period, with one-third of the underlying shares vesting on each of September 1, 2025, 2026 and 2027 so long as the individual remains an employee of NTIC as of such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to Time to the Release of Material Nonpublic Information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With respect to the timing of equity awards, our practice is to grant annual equity awards on September 1 of each year. This timing is dependent upon a sufficient number of shares of our common stock reserved under our stockholder-approved equity plan. If there is an insufficient number of shares of our common stock reserved under our stockholder-approved equity plan, then the timing of our equity grants may be delayed until shortly after stockholder approval of a new equity plan or an increase in the share reserve under the existing plan. We intend not to grant stock options or similar awards in anticipation of the release of material nonpublic information that is likely to result in changes to the price of our common stock, such as a significant positive or negative earnings announcement, and not to time the public release of such information based on stock option grant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three stock incentive plans under which stock options are currently outstanding: the Northern Technologies International Corporation 2024 Stock Incentive Plan, the Northern Technologies International Corporation Amended and Restated 2019 Stock Incentive Plan and the Northern Technologies International Corporation Amended and Restated 2007 Stock Incentive Plan. However, future stock incentive awards may only be granted under the Northern Technologies International Corporation 2024 Stock Incentive Plan. Under the terms of the 2024 plan, our named executive officers, in addition to other employees and individuals, are eligible to receive stock-based compensation awards, such as stock options, stock appreciation rights, restricted stock awards, restricted stock units, deferred stock units, performance awards, and other stock-based awards. To date, only incentive and non-statutory stock options and restricted stock units have been granted under the 2024 plan. The 2024 plan contains both an overall limit on the number of shares of our common stock that may be issued and a limit on the number of full-value awards. The 2024 plan also contains a limit on total non-employee director compensation.</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Incentive stock options must be granted with a per share exercise price equal to at least the fair market value of a share of our common stock on the date of grant. For the purposes of the 2024 plan, the fair market value of our common stock is the mean between the reported high and low sale price of our common stock, as reported by the Nasdaq Global Market. We generally set the per share exercise price of all stock options granted under the 2024 plan at an amount equal to the fair market value of a share of our common stock on the date of grant.</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Except in connection with certain specified changes in our corporate structure or shares, the Board of Directors or Compensation Committee may not, without prior approval of our stockholders, seek to effect any re-pricing of any previously granted, “underwater” option or stock appreciation right by amending or modifying the terms of the underwater option or stock appreciation right to lower the exercise price or grant price, cancelling the underwater option or stock appreciation right in exchange for cash, replacement options or stock appreciation rights having a lower exercise price or grant price, or other incentive awards, repurchasing the underwater options or stock appreciation rights and granting new incentive awards under the 2024 plan or a re-pricing within the meaning of the applicable accounting standard. For purposes of the 2024 plan, an option or stock appreciation right is deemed to be “underwater” at any time when the fair market value of our common stock is less than the exercise price or grant price.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66" w:name="page67"/>
    <w:bookmarkEnd w:id="66"/>
    <w:p>
      <w:pPr>
        <w:ind w:right="80"/>
        <w:spacing w:after="0" w:line="266" w:lineRule="auto"/>
        <w:rPr>
          <w:sz w:val="20"/>
          <w:szCs w:val="20"/>
          <w:color w:val="auto"/>
        </w:rPr>
      </w:pPr>
      <w:r>
        <w:rPr>
          <w:rFonts w:ascii="Times New Roman" w:cs="Times New Roman" w:eastAsia="Times New Roman" w:hAnsi="Times New Roman"/>
          <w:sz w:val="18"/>
          <w:szCs w:val="18"/>
          <w:color w:val="auto"/>
        </w:rPr>
        <w:t>We generally provide for the vesting of stock options in equal annual installments over a three-year period commencing on the one-year anniversary of the date of grant for employees and in full on the one-year anniversary of the date of grant for non-employee directors. We generally provide option terms of ten years.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Optionees may pay the exercise price of stock options in cash, except that the Compensation Committee may allow payment to be made (in whole or in part) by (1) using a broker-assisted cashless exercise procedure pursuant to which the optionee, upon exercise of an option, irrevocably instructs a broker or dealer to sell a sufficient number of shares of our common stock or loan a sufficient amount of money to pay all or a portion of the exercise price of the option and/or any related withholding tax obligations and remit such sums to us and directs us to deliver stock certificates to be issued upon such exercise directly to such broker or dealer; (2) using a cashless exercise procedure pursuant to which the optionee surrenders to us shares of our common stock either underlying the option or that are otherwise held by the optionee; or (3) by any other method approved or accepted by the Compensation Committee in its sole discretion.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2024 plan, unless otherwise provided in a separate agreement or amended in connection with an optionee’s termination of employment, if a named executive officer’s employment or service with NTIC terminates for any reason, the unvested portion of the options held by such officer will immediately terminate, and the executive’s right to exercise the then vested portion of the options will:</w:t>
      </w:r>
    </w:p>
    <w:p>
      <w:pPr>
        <w:spacing w:after="0" w:line="176"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terminate if the executive’s employment or service relationship with NTIC terminates for “cause”;</w:t>
      </w:r>
    </w:p>
    <w:p>
      <w:pPr>
        <w:spacing w:after="0" w:line="27"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for a period of 12 months if the executive’s employment or service relationship with NTIC terminates as a result of the executive’s death, disability or retirement; or</w:t>
      </w:r>
    </w:p>
    <w:p>
      <w:pPr>
        <w:ind w:left="980" w:right="180" w:hanging="324"/>
        <w:spacing w:after="0" w:line="260"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for a period of three months if the executive’s employment or service relationship with NTIC terminates for any reason, other than for cause or upon death, disability or retirement.</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set forth in the 2024 plan, the term “cause” is as defined in any employment or other agreement or policy applicable to the named executive officer or, if no such agreement or policy exists, means (i) dishonesty, fraud, misrepresentation, embezzlement or other act of dishonesty with respect to us or any subsidiary, (ii) any unlawful or criminal activity of a serious nature, (iii) any intentional and deliberate breach of a duty or duties that, individually or in the aggregate, are material in relation to the overall duties, or (iv) any material breach by a participant of any employment, service, confidentiality or non-compete agreement entered into with us or any subsidiary.</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terms of the 2024 plan, if a participant is determined by the committee to have taken any action that would constitute “cause” or an “adverse action” during or within one year after the termination of the participant’s employment or other service with NTIC, all rights of the participant under the 2024 plan and any incentive award agreements then held by the participant will terminate and be forfeited without notice of any kind, and the committee may rescind the exercise, vesting or issuance of, or payment in respect of, any incentive awards of the participant that were exercised, vested or issued, or as to which such payment was made, and require the participant to pay any amount received or the amount of any gain realized as a result of such rescinded exercise, vesting, issuance or payment. Additionally, as applicable, we may defer the exercise of any option or stock appreciation right for a period of up to six months after receipt of a participant’s written notice of exercise or the issuance of share certificates upon the vesting of any incentive award for a period of up to six months after the date of such vesting in order for the committee to make any determination as to the existence of cause or an adverse action. An “adverse action” includes any of the following actions or conduct that the committee determines to be injurious, detrimental, prejudicial or adverse to our interests: (i) disclosing any confidential information of NTIC or any subsidiary to any person not authorized to receive it; (ii) engaging, directly or indirectly, in any commercial activity that in the judgment of the committee competes with our business or the business of any of our subsidiaries; or (iii) interfering with our relationships or the relationships of our subsidiaries and our and their respective employees, independent contractors, customers, prospective customers and vendors.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7" w:name="page68"/>
    <w:bookmarkEnd w:id="67"/>
    <w:p>
      <w:pPr>
        <w:ind w:right="320"/>
        <w:spacing w:after="0" w:line="261" w:lineRule="auto"/>
        <w:rPr>
          <w:sz w:val="20"/>
          <w:szCs w:val="20"/>
          <w:color w:val="auto"/>
        </w:rPr>
      </w:pPr>
      <w:r>
        <w:rPr>
          <w:rFonts w:ascii="Times New Roman" w:cs="Times New Roman" w:eastAsia="Times New Roman" w:hAnsi="Times New Roman"/>
          <w:sz w:val="18"/>
          <w:szCs w:val="18"/>
          <w:color w:val="auto"/>
        </w:rPr>
        <w:t>As described in more detail under “—</w:t>
      </w:r>
      <w:r>
        <w:rPr>
          <w:rFonts w:ascii="Times New Roman" w:cs="Times New Roman" w:eastAsia="Times New Roman" w:hAnsi="Times New Roman"/>
          <w:sz w:val="18"/>
          <w:szCs w:val="18"/>
          <w:i w:val="1"/>
          <w:iCs w:val="1"/>
          <w:color w:val="auto"/>
        </w:rPr>
        <w:t>Post-Termination Severance and Change in Control Arrangements</w:t>
      </w:r>
      <w:r>
        <w:rPr>
          <w:rFonts w:ascii="Times New Roman" w:cs="Times New Roman" w:eastAsia="Times New Roman" w:hAnsi="Times New Roman"/>
          <w:sz w:val="18"/>
          <w:szCs w:val="18"/>
          <w:color w:val="auto"/>
        </w:rPr>
        <w:t>” if there is a change in control of NTIC, then, under the terms of agreements evidencing options granted to our named executive officers and other employees under the 2024 plan, all outstanding options will become immediately exercisable in full and will remain exercisable for the remainder of their terms, regardless of whether the executive to whom such options have been granted remains in the employ or service of us or any of our subsidiaries.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most part, the material terms of the prior two stock incentive plans are substantially similar to the 2024 plan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Severance and Change in Control Arrangements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G. Patrick Lynch, NTIC’s President and Chief Executive Officer, and Matthew C. Wolsfeld, NTIC’s Chief Financial Officer and Corporate Secretary. Although each executive’s employment with NTIC remains “at will,” the employment agreements provide each executive with certain severance benefits in the event the executive’s employment is terminated by us without “cause” or by the executive for “good reason” and the executive executes and does not revoke a separation agreement and a release of all claims.</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an executive’s employment is terminated by us without “cause” or by the executive for “good reason,” in addition to any accrued but unpaid salary and benefits through the date of termination, the executive will be entitled to a severance cash payment from us in an amount equal to two times (one and one-half times, in the case of Mr. Wolsfeld) the executive’s average total annual compensation for the two most recently completed fiscal years. The average total annual compensation will be determined based on the calculation used to determine total compensation in the Summary Compensation Table. Accordingly, it will not include equity gains; only, the grant date fair value of equity grants. Additionally, the CEO and CFO are eligible to receive a pro rata portion of the target bonus that the executive otherwise would have been eligible to receive under our bonus plan for the fiscal year during which the executive’s employment is terminated, with such pro rata portion based on the number of complete months during the fiscal year that the executive was employed with NTIC. The severance payment will be paid in several installments in the form of salary continuation in accordance with our normal payroll practices over a 24-month period (18 month period, in the case of Mr. Wolsfeld). If, however, the termination event occurs within 24 months after a change in control of NTIC, the severance payment will be paid in one lump sum. If the executive is eligible for and timely elects continued coverage under our group medical plan, group dental plan and/or group vision plan pursuant to Section 4980B of the Internal Revenue Code of 1986, as amended (referred to as “COBRA”), for each of the first 18 months of the COBRA continuation period, we also will reimburse the executive in an amount equal to the difference between the amount the executive pays for such COBRA continuation coverage each month and the amount paid by a full-time active employee each month for the same level of coverage elected by the executive. In addition, all outstanding and unvested options to purchase shares of our common stock and other stock incentive awards granted to the executive under our stock incentive plan will become immediately vested and exercisable.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68" w:name="page69"/>
    <w:bookmarkEnd w:id="68"/>
    <w:p>
      <w:pPr>
        <w:spacing w:after="0" w:line="255" w:lineRule="auto"/>
        <w:rPr>
          <w:sz w:val="20"/>
          <w:szCs w:val="20"/>
          <w:color w:val="auto"/>
        </w:rPr>
      </w:pPr>
      <w:r>
        <w:rPr>
          <w:rFonts w:ascii="Times New Roman" w:cs="Times New Roman" w:eastAsia="Times New Roman" w:hAnsi="Times New Roman"/>
          <w:sz w:val="18"/>
          <w:szCs w:val="18"/>
          <w:color w:val="auto"/>
        </w:rPr>
        <w:t>Under the employment agreements, “cause” is defined as (i) the executive’s material breach of any of the executive’s obligations under the employment agreement or the executive’s willful and continued failure or refusal to perform his duties, responsibilities and obligations as an executive officer of NTIC, for reasons other than the executive’s disability, to the satisfaction of the Board of Directors; (ii) the executive’s commission of an act of dishonesty, fraud, embezzlement, misappropriation, or intentional and deliberate injury or material breach of fiduciary duty, or material breach of the duty of loyalty related to or against us or our business, or any unlawful or criminal activity of a serious nature involving any felony, or conviction by a court of competent jurisdiction of, or pleading guilty or nolo contendere to, any felony or any crime involving moral turpitude; or (iii) the existence of any court order or settlement agreement prohibiting the executive’s continued employment with NTIC.</w:t>
      </w:r>
    </w:p>
    <w:p>
      <w:pPr>
        <w:spacing w:after="0" w:line="18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“Good reason” is defined as (i) a material diminution in the executive’s authority, duties or responsibilities; (ii) a material diminution in the executive’s annual base salary; (iii) a material change in the geographic location at which we require the executive to provide services, except for travel reasonably required in the performance of the executive’s responsibilities; or (iv) any action or inaction that constitutes a material breach by us of the employment agreement.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“Change in control” has the meaning assigned to such term in our stock incentive plan as in effect from time to time to the extent such change in control is a “change of control event” as defined under Code Section 409A and applicable Internal Revenue Service regulations. Under the terms of our stock incentive plan, a “change in control” means:</w:t>
      </w:r>
    </w:p>
    <w:p>
      <w:pPr>
        <w:spacing w:after="0" w:line="176"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or other transfer of all or substantially all of our assets to a corporation that is not controlled by us;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our stockholders of any plan or proposal for our liquidation or dissolution;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merger or business combination transactions;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40% of our outstanding voting shares are acquired by any person or group of persons who did not own any shares of common stock on the effective date of the plan; and</w:t>
      </w: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changes in the composition of our Board of Directors.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 change in control of NTIC had occurred on August 31, 2025, the number of options indicated in the table below held by each of our named executive officers would have been automatically accelerated and exercisable. The estimated value of the automatic acceleration of the vesting of unvested stock options held by a named executive officer as of August 31, 2025 is also indicated in the table below and is based on the difference between: (i) the market price of the shares of our common stock underlying the unvested stock options held by such officer as of August 31, 2025 (based on the closing sale price of our common stock on the last trading day of fiscal 2025, August 29, 2025 — $7.40), and (ii) the exercise price of the options.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shd w:val="clear" w:color="auto" w:fill="DDDDDD"/>
          </w:tcPr>
          <w:p>
            <w:pPr>
              <w:spacing w:after="0"/>
              <w:rPr>
                <w:sz w:val="18"/>
                <w:szCs w:val="18"/>
                <w:color w:val="auto"/>
              </w:rPr>
            </w:pPr>
          </w:p>
        </w:tc>
        <w:tc>
          <w:tcPr>
            <w:tcW w:w="43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8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60" w:type="dxa"/>
            <w:vAlign w:val="bottom"/>
            <w:shd w:val="clear" w:color="auto" w:fill="DDDDDD"/>
          </w:tcPr>
          <w:p>
            <w:pPr>
              <w:spacing w:after="0"/>
              <w:rPr>
                <w:sz w:val="18"/>
                <w:szCs w:val="18"/>
                <w:color w:val="auto"/>
              </w:rPr>
            </w:pPr>
          </w:p>
        </w:tc>
      </w:tr>
      <w:tr>
        <w:trPr>
          <w:trHeight w:val="216"/>
        </w:trPr>
        <w:tc>
          <w:tcPr>
            <w:tcW w:w="3540" w:type="dxa"/>
            <w:vAlign w:val="bottom"/>
            <w:shd w:val="clear" w:color="auto" w:fill="DDDDDD"/>
          </w:tcPr>
          <w:p>
            <w:pPr>
              <w:spacing w:after="0"/>
              <w:rPr>
                <w:sz w:val="18"/>
                <w:szCs w:val="18"/>
                <w:color w:val="auto"/>
              </w:rPr>
            </w:pPr>
          </w:p>
        </w:tc>
        <w:tc>
          <w:tcPr>
            <w:tcW w:w="43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8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Unvested Options</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60" w:type="dxa"/>
            <w:vAlign w:val="bottom"/>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Estimated Value</w:t>
            </w:r>
          </w:p>
        </w:tc>
      </w:tr>
      <w:tr>
        <w:trPr>
          <w:trHeight w:val="216"/>
        </w:trPr>
        <w:tc>
          <w:tcPr>
            <w:tcW w:w="3540" w:type="dxa"/>
            <w:vAlign w:val="bottom"/>
            <w:shd w:val="clear" w:color="auto" w:fill="DDDDDD"/>
          </w:tcPr>
          <w:p>
            <w:pPr>
              <w:spacing w:after="0"/>
              <w:rPr>
                <w:sz w:val="18"/>
                <w:szCs w:val="18"/>
                <w:color w:val="auto"/>
              </w:rPr>
            </w:pPr>
          </w:p>
        </w:tc>
        <w:tc>
          <w:tcPr>
            <w:tcW w:w="43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80" w:type="dxa"/>
            <w:vAlign w:val="bottom"/>
            <w:shd w:val="clear" w:color="auto" w:fill="DDDDDD"/>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60" w:type="dxa"/>
            <w:vAlign w:val="bottom"/>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Automatic</w:t>
            </w:r>
          </w:p>
        </w:tc>
      </w:tr>
      <w:tr>
        <w:trPr>
          <w:trHeight w:val="216"/>
        </w:trPr>
        <w:tc>
          <w:tcPr>
            <w:tcW w:w="3540" w:type="dxa"/>
            <w:vAlign w:val="bottom"/>
            <w:shd w:val="clear" w:color="auto" w:fill="DDDDDD"/>
          </w:tcPr>
          <w:p>
            <w:pPr>
              <w:spacing w:after="0"/>
              <w:rPr>
                <w:sz w:val="18"/>
                <w:szCs w:val="18"/>
                <w:color w:val="auto"/>
              </w:rPr>
            </w:pPr>
          </w:p>
        </w:tc>
        <w:tc>
          <w:tcPr>
            <w:tcW w:w="43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80" w:type="dxa"/>
            <w:vAlign w:val="bottom"/>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Automatic</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60" w:type="dxa"/>
            <w:vAlign w:val="bottom"/>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Acceleration of</w:t>
            </w:r>
          </w:p>
        </w:tc>
      </w:tr>
      <w:tr>
        <w:trPr>
          <w:trHeight w:val="238"/>
        </w:trPr>
        <w:tc>
          <w:tcPr>
            <w:tcW w:w="354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340" w:type="dxa"/>
            <w:vAlign w:val="bottom"/>
            <w:tcBorders>
              <w:bottom w:val="single" w:sz="8" w:color="auto"/>
            </w:tcBorders>
            <w:shd w:val="clear" w:color="auto" w:fill="DDDDDD"/>
          </w:tcPr>
          <w:p>
            <w:pPr>
              <w:spacing w:after="0"/>
              <w:rPr>
                <w:sz w:val="20"/>
                <w:szCs w:val="20"/>
                <w:color w:val="auto"/>
              </w:rPr>
            </w:pPr>
          </w:p>
        </w:tc>
        <w:tc>
          <w:tcPr>
            <w:tcW w:w="120" w:type="dxa"/>
            <w:vAlign w:val="bottom"/>
            <w:tcBorders>
              <w:bottom w:val="single" w:sz="8" w:color="DDDDDD"/>
            </w:tcBorders>
            <w:shd w:val="clear" w:color="auto" w:fill="DDDDDD"/>
          </w:tcPr>
          <w:p>
            <w:pPr>
              <w:spacing w:after="0"/>
              <w:rPr>
                <w:sz w:val="20"/>
                <w:szCs w:val="20"/>
                <w:color w:val="auto"/>
              </w:rPr>
            </w:pPr>
          </w:p>
        </w:tc>
        <w:tc>
          <w:tcPr>
            <w:tcW w:w="1580" w:type="dxa"/>
            <w:vAlign w:val="bottom"/>
            <w:tcBorders>
              <w:bottom w:val="single" w:sz="8" w:color="auto"/>
            </w:tcBorders>
            <w:shd w:val="clear" w:color="auto" w:fill="DDDDDD"/>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Acceleration</w:t>
            </w:r>
          </w:p>
        </w:tc>
        <w:tc>
          <w:tcPr>
            <w:tcW w:w="10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460" w:type="dxa"/>
            <w:vAlign w:val="bottom"/>
            <w:tcBorders>
              <w:bottom w:val="single" w:sz="8" w:color="auto"/>
            </w:tcBorders>
            <w:shd w:val="clear" w:color="auto" w:fill="DDDDDD"/>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Vesting</w:t>
            </w: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c>
          <w:tcPr>
            <w:tcW w:w="6040" w:type="dxa"/>
            <w:vAlign w:val="bottom"/>
            <w:gridSpan w:val="3"/>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106,790</w:t>
            </w:r>
          </w:p>
        </w:tc>
        <w:tc>
          <w:tcPr>
            <w:tcW w:w="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0</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6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67,225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3540" w:type="dxa"/>
            <w:vAlign w:val="bottom"/>
          </w:tcPr>
          <w:p>
            <w:pPr>
              <w:spacing w:after="0"/>
              <w:rPr>
                <w:sz w:val="24"/>
                <w:szCs w:val="24"/>
                <w:color w:val="auto"/>
              </w:rPr>
            </w:pPr>
          </w:p>
        </w:tc>
        <w:tc>
          <w:tcPr>
            <w:tcW w:w="434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9" w:name="page70"/>
    <w:bookmarkEnd w:id="69"/>
    <w:p>
      <w:pPr>
        <w:ind w:right="20"/>
        <w:spacing w:after="0" w:line="282" w:lineRule="auto"/>
        <w:rPr>
          <w:sz w:val="20"/>
          <w:szCs w:val="20"/>
          <w:color w:val="auto"/>
        </w:rPr>
      </w:pPr>
      <w:r>
        <w:rPr>
          <w:rFonts w:ascii="Times New Roman" w:cs="Times New Roman" w:eastAsia="Times New Roman" w:hAnsi="Times New Roman"/>
          <w:sz w:val="18"/>
          <w:szCs w:val="18"/>
          <w:color w:val="auto"/>
        </w:rPr>
        <w:t>If the employment of our named executive officers was terminated as of August 31, 2025, they would have been entitled to the following compensation and benefits, depending upon the applicable triggering event: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80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16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1100" w:type="dxa"/>
            <w:vAlign w:val="bottom"/>
            <w:shd w:val="clear" w:color="auto" w:fill="DDDDDD"/>
          </w:tcPr>
          <w:p>
            <w:pPr>
              <w:spacing w:after="0"/>
              <w:rPr>
                <w:sz w:val="22"/>
                <w:szCs w:val="22"/>
                <w:color w:val="auto"/>
              </w:rPr>
            </w:pPr>
          </w:p>
        </w:tc>
        <w:tc>
          <w:tcPr>
            <w:tcW w:w="1460" w:type="dxa"/>
            <w:vAlign w:val="bottom"/>
            <w:gridSpan w:val="3"/>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Triggering Event</w:t>
            </w:r>
          </w:p>
        </w:tc>
        <w:tc>
          <w:tcPr>
            <w:tcW w:w="120" w:type="dxa"/>
            <w:vAlign w:val="bottom"/>
            <w:shd w:val="clear" w:color="auto" w:fill="DDDDDD"/>
          </w:tcPr>
          <w:p>
            <w:pPr>
              <w:spacing w:after="0"/>
              <w:rPr>
                <w:sz w:val="22"/>
                <w:szCs w:val="22"/>
                <w:color w:val="auto"/>
              </w:rPr>
            </w:pPr>
          </w:p>
        </w:tc>
        <w:tc>
          <w:tcPr>
            <w:tcW w:w="94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140" w:type="dxa"/>
            <w:vAlign w:val="bottom"/>
            <w:shd w:val="clear" w:color="auto" w:fill="DDDDDD"/>
          </w:tcPr>
          <w:p>
            <w:pPr>
              <w:spacing w:after="0"/>
              <w:rPr>
                <w:sz w:val="22"/>
                <w:szCs w:val="22"/>
                <w:color w:val="auto"/>
              </w:rPr>
            </w:pPr>
          </w:p>
        </w:tc>
      </w:tr>
      <w:tr>
        <w:trPr>
          <w:trHeight w:val="273"/>
        </w:trPr>
        <w:tc>
          <w:tcPr>
            <w:tcW w:w="20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80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16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300" w:type="dxa"/>
            <w:vAlign w:val="bottom"/>
            <w:gridSpan w:val="2"/>
            <w:shd w:val="clear" w:color="auto" w:fill="DDDDDD"/>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4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160" w:type="dxa"/>
            <w:vAlign w:val="bottom"/>
            <w:shd w:val="clear" w:color="auto" w:fill="DDDDDD"/>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c>
          <w:tcPr>
            <w:tcW w:w="120" w:type="dxa"/>
            <w:vAlign w:val="bottom"/>
            <w:shd w:val="clear" w:color="auto" w:fill="DDDDDD"/>
          </w:tcPr>
          <w:p>
            <w:pPr>
              <w:spacing w:after="0"/>
              <w:rPr>
                <w:sz w:val="23"/>
                <w:szCs w:val="23"/>
                <w:color w:val="auto"/>
              </w:rPr>
            </w:pPr>
          </w:p>
        </w:tc>
        <w:tc>
          <w:tcPr>
            <w:tcW w:w="940" w:type="dxa"/>
            <w:vAlign w:val="bottom"/>
            <w:shd w:val="clear" w:color="auto" w:fill="DDDDDD"/>
          </w:tcPr>
          <w:p>
            <w:pPr>
              <w:spacing w:after="0"/>
              <w:rPr>
                <w:sz w:val="23"/>
                <w:szCs w:val="23"/>
                <w:color w:val="auto"/>
              </w:rPr>
            </w:pPr>
          </w:p>
        </w:tc>
        <w:tc>
          <w:tcPr>
            <w:tcW w:w="3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140" w:type="dxa"/>
            <w:vAlign w:val="bottom"/>
            <w:shd w:val="clear" w:color="auto" w:fill="DDDDDD"/>
          </w:tcPr>
          <w:p>
            <w:pPr>
              <w:spacing w:after="0"/>
              <w:rPr>
                <w:sz w:val="23"/>
                <w:szCs w:val="23"/>
                <w:color w:val="auto"/>
              </w:rPr>
            </w:pPr>
          </w:p>
        </w:tc>
      </w:tr>
      <w:tr>
        <w:trPr>
          <w:trHeight w:val="216"/>
        </w:trPr>
        <w:tc>
          <w:tcPr>
            <w:tcW w:w="20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8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60" w:type="dxa"/>
            <w:vAlign w:val="bottom"/>
            <w:shd w:val="clear" w:color="auto" w:fill="DDDDDD"/>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Voluntary/</w:t>
            </w:r>
          </w:p>
        </w:tc>
        <w:tc>
          <w:tcPr>
            <w:tcW w:w="140" w:type="dxa"/>
            <w:vAlign w:val="bottom"/>
            <w:shd w:val="clear" w:color="auto" w:fill="DDDDDD"/>
          </w:tcPr>
          <w:p>
            <w:pPr>
              <w:spacing w:after="0"/>
              <w:rPr>
                <w:sz w:val="18"/>
                <w:szCs w:val="18"/>
                <w:color w:val="auto"/>
              </w:rPr>
            </w:pPr>
          </w:p>
        </w:tc>
        <w:tc>
          <w:tcPr>
            <w:tcW w:w="1300" w:type="dxa"/>
            <w:vAlign w:val="bottom"/>
            <w:gridSpan w:val="2"/>
            <w:shd w:val="clear" w:color="auto" w:fill="DDDDDD"/>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60" w:type="dxa"/>
            <w:vAlign w:val="bottom"/>
            <w:shd w:val="clear" w:color="auto" w:fill="DDDDDD"/>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2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r>
      <w:tr>
        <w:trPr>
          <w:trHeight w:val="216"/>
        </w:trPr>
        <w:tc>
          <w:tcPr>
            <w:tcW w:w="20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8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160" w:type="dxa"/>
            <w:vAlign w:val="bottom"/>
            <w:shd w:val="clear" w:color="auto" w:fill="DDDDDD"/>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For Cause</w:t>
            </w:r>
          </w:p>
        </w:tc>
        <w:tc>
          <w:tcPr>
            <w:tcW w:w="14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00" w:type="dxa"/>
            <w:vAlign w:val="bottom"/>
            <w:shd w:val="clear" w:color="auto" w:fill="DDDDDD"/>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60" w:type="dxa"/>
            <w:vAlign w:val="bottom"/>
            <w:shd w:val="clear" w:color="auto" w:fill="DDDDDD"/>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Control</w:t>
            </w:r>
          </w:p>
        </w:tc>
        <w:tc>
          <w:tcPr>
            <w:tcW w:w="120" w:type="dxa"/>
            <w:vAlign w:val="bottom"/>
            <w:shd w:val="clear" w:color="auto" w:fill="DDDDDD"/>
          </w:tcPr>
          <w:p>
            <w:pPr>
              <w:spacing w:after="0"/>
              <w:rPr>
                <w:sz w:val="18"/>
                <w:szCs w:val="18"/>
                <w:color w:val="auto"/>
              </w:rPr>
            </w:pPr>
          </w:p>
        </w:tc>
        <w:tc>
          <w:tcPr>
            <w:tcW w:w="94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r>
      <w:tr>
        <w:trPr>
          <w:trHeight w:val="284"/>
        </w:trPr>
        <w:tc>
          <w:tcPr>
            <w:tcW w:w="20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40" w:type="dxa"/>
            <w:vAlign w:val="bottom"/>
            <w:tcBorders>
              <w:bottom w:val="single" w:sz="8" w:color="DDDDDD"/>
            </w:tcBorders>
            <w:shd w:val="clear" w:color="auto" w:fill="DDDDDD"/>
          </w:tcPr>
          <w:p>
            <w:pPr>
              <w:spacing w:after="0"/>
              <w:rPr>
                <w:sz w:val="24"/>
                <w:szCs w:val="24"/>
                <w:color w:val="auto"/>
              </w:rPr>
            </w:pPr>
          </w:p>
        </w:tc>
        <w:tc>
          <w:tcPr>
            <w:tcW w:w="180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18"/>
                <w:szCs w:val="18"/>
                <w:b w:val="1"/>
                <w:bCs w:val="1"/>
                <w:color w:val="auto"/>
              </w:rPr>
              <w:t>Type of Payment</w:t>
            </w:r>
          </w:p>
        </w:tc>
        <w:tc>
          <w:tcPr>
            <w:tcW w:w="14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gridSpan w:val="2"/>
            <w:shd w:val="clear" w:color="auto" w:fill="DDDDDD"/>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DDDDDD"/>
            </w:tcBorders>
            <w:shd w:val="clear" w:color="auto" w:fill="DDDDDD"/>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140" w:type="dxa"/>
            <w:vAlign w:val="bottom"/>
            <w:tcBorders>
              <w:bottom w:val="single" w:sz="8" w:color="DDDDDD"/>
            </w:tcBorders>
            <w:shd w:val="clear" w:color="auto" w:fill="DDDDDD"/>
          </w:tcPr>
          <w:p>
            <w:pPr>
              <w:spacing w:after="0"/>
              <w:rPr>
                <w:sz w:val="24"/>
                <w:szCs w:val="24"/>
                <w:color w:val="auto"/>
              </w:rPr>
            </w:pPr>
          </w:p>
        </w:tc>
        <w:tc>
          <w:tcPr>
            <w:tcW w:w="1320" w:type="dxa"/>
            <w:vAlign w:val="bottom"/>
            <w:tcBorders>
              <w:bottom w:val="single" w:sz="8" w:color="DDDDDD"/>
            </w:tcBorders>
            <w:gridSpan w:val="2"/>
            <w:shd w:val="clear" w:color="auto" w:fill="DDDDDD"/>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20" w:type="dxa"/>
            <w:vAlign w:val="bottom"/>
            <w:tcBorders>
              <w:bottom w:val="single" w:sz="8" w:color="DDDDDD"/>
            </w:tcBorders>
            <w:shd w:val="clear" w:color="auto" w:fill="DDDDDD"/>
          </w:tcPr>
          <w:p>
            <w:pPr>
              <w:spacing w:after="0"/>
              <w:rPr>
                <w:sz w:val="24"/>
                <w:szCs w:val="24"/>
                <w:color w:val="auto"/>
              </w:rPr>
            </w:pPr>
          </w:p>
        </w:tc>
        <w:tc>
          <w:tcPr>
            <w:tcW w:w="940" w:type="dxa"/>
            <w:vAlign w:val="bottom"/>
            <w:tcBorders>
              <w:bottom w:val="single" w:sz="8" w:color="DDDDDD"/>
            </w:tcBorders>
            <w:shd w:val="clear" w:color="auto" w:fill="DDDDDD"/>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38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Disability</w:t>
            </w:r>
          </w:p>
        </w:tc>
      </w:tr>
      <w:tr>
        <w:trPr>
          <w:trHeight w:val="313"/>
        </w:trPr>
        <w:tc>
          <w:tcPr>
            <w:tcW w:w="2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 Patrick Lynch</w:t>
            </w:r>
          </w:p>
        </w:tc>
        <w:tc>
          <w:tcPr>
            <w:tcW w:w="140" w:type="dxa"/>
            <w:vAlign w:val="bottom"/>
            <w:tcBorders>
              <w:top w:val="single" w:sz="8" w:color="DDDDDD"/>
            </w:tcBorders>
          </w:tcPr>
          <w:p>
            <w:pPr>
              <w:spacing w:after="0"/>
              <w:rPr>
                <w:sz w:val="24"/>
                <w:szCs w:val="24"/>
                <w:color w:val="auto"/>
              </w:rPr>
            </w:pPr>
          </w:p>
        </w:tc>
        <w:tc>
          <w:tcPr>
            <w:tcW w:w="1800" w:type="dxa"/>
            <w:vAlign w:val="bottom"/>
            <w:tcBorders>
              <w:top w:val="single" w:sz="8" w:color="auto"/>
            </w:tcBorders>
          </w:tcPr>
          <w:p>
            <w:pPr>
              <w:ind w:left="40"/>
              <w:spacing w:after="0" w:line="313" w:lineRule="exact"/>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29"/>
                <w:szCs w:val="29"/>
                <w:color w:val="auto"/>
                <w:vertAlign w:val="superscript"/>
              </w:rPr>
              <w:t>(1)</w:t>
            </w:r>
          </w:p>
        </w:tc>
        <w:tc>
          <w:tcPr>
            <w:tcW w:w="140" w:type="dxa"/>
            <w:vAlign w:val="bottom"/>
            <w:tcBorders>
              <w:top w:val="single" w:sz="8" w:color="DDDDDD"/>
            </w:tcBorders>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top w:val="single" w:sz="8" w:color="DDDDDD"/>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1,731,980</w:t>
            </w:r>
          </w:p>
        </w:tc>
        <w:tc>
          <w:tcPr>
            <w:tcW w:w="140" w:type="dxa"/>
            <w:vAlign w:val="bottom"/>
            <w:tcBorders>
              <w:top w:val="single" w:sz="8" w:color="DDDDDD"/>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1,731,980</w:t>
            </w:r>
          </w:p>
        </w:tc>
        <w:tc>
          <w:tcPr>
            <w:tcW w:w="120" w:type="dxa"/>
            <w:vAlign w:val="bottom"/>
            <w:tcBorders>
              <w:top w:val="single" w:sz="8" w:color="DDDDDD"/>
            </w:tcBorders>
          </w:tcPr>
          <w:p>
            <w:pPr>
              <w:spacing w:after="0"/>
              <w:rPr>
                <w:sz w:val="24"/>
                <w:szCs w:val="24"/>
                <w:color w:val="auto"/>
              </w:rPr>
            </w:pPr>
          </w:p>
        </w:tc>
        <w:tc>
          <w:tcPr>
            <w:tcW w:w="94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top w:val="single" w:sz="8" w:color="DDDDDD"/>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7"/>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ind w:left="40"/>
              <w:spacing w:after="0" w:line="296" w:lineRule="exact"/>
              <w:rPr>
                <w:sz w:val="20"/>
                <w:szCs w:val="20"/>
                <w:color w:val="auto"/>
              </w:rPr>
            </w:pPr>
            <w:r>
              <w:rPr>
                <w:rFonts w:ascii="Times New Roman" w:cs="Times New Roman" w:eastAsia="Times New Roman" w:hAnsi="Times New Roman"/>
                <w:sz w:val="18"/>
                <w:szCs w:val="18"/>
                <w:color w:val="auto"/>
              </w:rPr>
              <w:t>continuation</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29,940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29,940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75"/>
        </w:trPr>
        <w:tc>
          <w:tcPr>
            <w:tcW w:w="2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ind w:left="40"/>
              <w:spacing w:after="0" w:line="274"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91"/>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1,761,920</w:t>
            </w: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1,761,920</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94"/>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Matthew C. Wolsfeld</w:t>
            </w:r>
          </w:p>
        </w:tc>
        <w:tc>
          <w:tcPr>
            <w:tcW w:w="1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severance</w:t>
            </w:r>
            <w:r>
              <w:rPr>
                <w:rFonts w:ascii="Times New Roman" w:cs="Times New Roman" w:eastAsia="Times New Roman" w:hAnsi="Times New Roman"/>
                <w:sz w:val="29"/>
                <w:szCs w:val="29"/>
                <w:color w:val="auto"/>
                <w:vertAlign w:val="superscript"/>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964,905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964,905</w:t>
            </w:r>
          </w:p>
        </w:tc>
        <w:tc>
          <w:tcPr>
            <w:tcW w:w="10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7"/>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ind w:left="40"/>
              <w:spacing w:after="0" w:line="296" w:lineRule="exact"/>
              <w:rPr>
                <w:sz w:val="20"/>
                <w:szCs w:val="20"/>
                <w:color w:val="auto"/>
              </w:rPr>
            </w:pPr>
            <w:r>
              <w:rPr>
                <w:rFonts w:ascii="Times New Roman" w:cs="Times New Roman" w:eastAsia="Times New Roman" w:hAnsi="Times New Roman"/>
                <w:sz w:val="18"/>
                <w:szCs w:val="18"/>
                <w:color w:val="auto"/>
              </w:rPr>
              <w:t>continuation</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29,940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29,940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75"/>
        </w:trPr>
        <w:tc>
          <w:tcPr>
            <w:tcW w:w="2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ind w:left="40"/>
              <w:spacing w:after="0" w:line="274" w:lineRule="exact"/>
              <w:rPr>
                <w:sz w:val="20"/>
                <w:szCs w:val="20"/>
                <w:color w:val="auto"/>
              </w:rPr>
            </w:pP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9"/>
                <w:szCs w:val="29"/>
                <w:color w:val="auto"/>
                <w:vertAlign w:val="superscript"/>
              </w:rPr>
              <w:t>(3)</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r>
        <w:trPr>
          <w:trHeight w:val="290"/>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994,845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994,845</w:t>
            </w:r>
          </w:p>
        </w:tc>
        <w:tc>
          <w:tcPr>
            <w:tcW w:w="10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0</wp:posOffset>
            </wp:positionV>
            <wp:extent cx="45002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-127635</wp:posOffset>
            </wp:positionV>
            <wp:extent cx="45002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7" w:lineRule="exact"/>
        <w:rPr>
          <w:sz w:val="20"/>
          <w:szCs w:val="20"/>
          <w:color w:val="auto"/>
        </w:rPr>
      </w:pPr>
    </w:p>
    <w:p>
      <w:pPr>
        <w:ind w:left="660" w:right="160" w:hanging="652"/>
        <w:spacing w:after="0" w:line="253" w:lineRule="auto"/>
        <w:tabs>
          <w:tab w:leader="none" w:pos="6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two times (one and one-half times, in the case of Mr. Wolsfeld) the executive’s average total annual compensation for the two most recently completed fiscal years. Does not include a pro rata portion of the target bonus that the executive otherwise would have been eligible to receive under our bonus plan for the fiscal year during which the executive’s employment is terminated, since in light of the assumed termination date of August 31, 2025, the last day of the fiscal year, such bonus would have been earned.</w:t>
      </w:r>
    </w:p>
    <w:p>
      <w:pPr>
        <w:spacing w:after="0" w:line="18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medical, dental and vision benefit continuation for each executive and their family for 18 months following the executive’s termination.</w:t>
      </w:r>
    </w:p>
    <w:p>
      <w:pPr>
        <w:spacing w:after="0" w:line="16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acceleration of all unvested shares that are subject to options, based on the difference between the closing sale price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$7.40 per share as of the last trading day of fiscal 2025, August 29, 2025, and the exercise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has served as one of our officers or employees at any time. Except as otherwise disclosed in this proxy statement, no member of the Compensation Committee has had any relationship with NTIC requiring disclosure under Item 404 of Regulation S-K under the Exchange Act. None of our executive officers has served as a director, or member of the compensation committee (or other committee serving an equivalent function), of an organization that has an executive officer also serving as a member of our Board of Directors or Compensation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SEC Regulation S-K, we are providing the following information about the relationship between “compensation actually paid” to our “named executive officers,” within the meaning of such rules, and certain financial performance measures of our Company. The table below provides information regarding compensation actually paid to our CEO, who serves as our principal executive officer (“PEO”), and compensation actually paid to our CFO, our only other non-PEO named executive officer, during each of the past three fiscal years, as well as our total stockholder return and net income for each of the past three fiscal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4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4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3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340" w:type="dxa"/>
            <w:vAlign w:val="bottom"/>
            <w:shd w:val="clear" w:color="auto" w:fill="DDDDDD"/>
          </w:tcPr>
          <w:p>
            <w:pPr>
              <w:spacing w:after="0"/>
              <w:rPr>
                <w:sz w:val="17"/>
                <w:szCs w:val="17"/>
                <w:color w:val="auto"/>
              </w:rPr>
            </w:pPr>
          </w:p>
        </w:tc>
      </w:tr>
      <w:tr>
        <w:trPr>
          <w:trHeight w:val="216"/>
        </w:trPr>
        <w:tc>
          <w:tcPr>
            <w:tcW w:w="13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580" w:type="dxa"/>
            <w:vAlign w:val="bottom"/>
            <w:gridSpan w:val="2"/>
            <w:shd w:val="clear" w:color="auto" w:fill="DDDDDD"/>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Average Summary</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13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shd w:val="clear" w:color="auto" w:fill="DDDDDD"/>
          </w:tcPr>
          <w:p>
            <w:pPr>
              <w:spacing w:after="0"/>
              <w:rPr>
                <w:sz w:val="18"/>
                <w:szCs w:val="18"/>
                <w:color w:val="auto"/>
              </w:rPr>
            </w:pPr>
          </w:p>
        </w:tc>
        <w:tc>
          <w:tcPr>
            <w:tcW w:w="1440" w:type="dxa"/>
            <w:vAlign w:val="bottom"/>
            <w:gridSpan w:val="2"/>
            <w:shd w:val="clear" w:color="auto" w:fill="DDDDD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13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80" w:type="dxa"/>
            <w:vAlign w:val="bottom"/>
            <w:shd w:val="clear" w:color="auto" w:fill="DDDDDD"/>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13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80" w:type="dxa"/>
            <w:vAlign w:val="bottom"/>
            <w:shd w:val="clear" w:color="auto" w:fill="DDDDDD"/>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80" w:type="dxa"/>
            <w:vAlign w:val="bottom"/>
            <w:shd w:val="clear" w:color="auto" w:fill="DDDDDD"/>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shd w:val="clear" w:color="auto" w:fill="DDDDDD"/>
          </w:tcPr>
          <w:p>
            <w:pPr>
              <w:spacing w:after="0"/>
              <w:rPr>
                <w:sz w:val="18"/>
                <w:szCs w:val="18"/>
                <w:color w:val="auto"/>
              </w:rPr>
            </w:pPr>
          </w:p>
        </w:tc>
        <w:tc>
          <w:tcPr>
            <w:tcW w:w="1580" w:type="dxa"/>
            <w:vAlign w:val="bottom"/>
            <w:gridSpan w:val="2"/>
            <w:shd w:val="clear" w:color="auto" w:fill="DDDDDD"/>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Non-PEO Named</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Based On Total</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16"/>
        </w:trPr>
        <w:tc>
          <w:tcPr>
            <w:tcW w:w="13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480" w:type="dxa"/>
            <w:vAlign w:val="bottom"/>
            <w:shd w:val="clear" w:color="auto" w:fill="DDDDDD"/>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80" w:type="dxa"/>
            <w:vAlign w:val="bottom"/>
            <w:shd w:val="clear" w:color="auto" w:fill="DDDDDD"/>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c>
          <w:tcPr>
            <w:tcW w:w="12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40" w:type="dxa"/>
            <w:vAlign w:val="bottom"/>
            <w:shd w:val="clear" w:color="auto" w:fill="DDDDDD"/>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340" w:type="dxa"/>
            <w:vAlign w:val="bottom"/>
            <w:shd w:val="clear" w:color="auto" w:fill="DDDDDD"/>
          </w:tcPr>
          <w:p>
            <w:pPr>
              <w:spacing w:after="0"/>
              <w:rPr>
                <w:sz w:val="18"/>
                <w:szCs w:val="18"/>
                <w:color w:val="auto"/>
              </w:rPr>
            </w:pPr>
          </w:p>
        </w:tc>
      </w:tr>
      <w:tr>
        <w:trPr>
          <w:trHeight w:val="238"/>
        </w:trPr>
        <w:tc>
          <w:tcPr>
            <w:tcW w:w="1360" w:type="dxa"/>
            <w:vAlign w:val="bottom"/>
            <w:tcBorders>
              <w:bottom w:val="single" w:sz="8" w:color="auto"/>
            </w:tcBorders>
            <w:shd w:val="clear" w:color="auto" w:fill="DDDDDD"/>
          </w:tcPr>
          <w:p>
            <w:pPr>
              <w:ind w:left="5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Borders>
              <w:bottom w:val="single" w:sz="8" w:color="DDDDDD"/>
            </w:tcBorders>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480" w:type="dxa"/>
            <w:vAlign w:val="bottom"/>
            <w:tcBorders>
              <w:bottom w:val="single" w:sz="8" w:color="auto"/>
            </w:tcBorders>
            <w:shd w:val="clear" w:color="auto" w:fill="DDDDDD"/>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4"/>
                <w:szCs w:val="14"/>
                <w:b w:val="1"/>
                <w:bCs w:val="1"/>
                <w:color w:val="auto"/>
              </w:rPr>
              <w:t>(1)</w:t>
            </w:r>
          </w:p>
        </w:tc>
        <w:tc>
          <w:tcPr>
            <w:tcW w:w="12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480" w:type="dxa"/>
            <w:vAlign w:val="bottom"/>
            <w:tcBorders>
              <w:bottom w:val="single" w:sz="8" w:color="auto"/>
            </w:tcBorders>
            <w:shd w:val="clear" w:color="auto" w:fill="DDDDDD"/>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4"/>
                <w:szCs w:val="14"/>
                <w:b w:val="1"/>
                <w:bCs w:val="1"/>
                <w:color w:val="auto"/>
              </w:rPr>
              <w:t>(2)(3)</w:t>
            </w:r>
          </w:p>
        </w:tc>
        <w:tc>
          <w:tcPr>
            <w:tcW w:w="12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440" w:type="dxa"/>
            <w:vAlign w:val="bottom"/>
            <w:tcBorders>
              <w:bottom w:val="single" w:sz="8" w:color="auto"/>
            </w:tcBorders>
            <w:shd w:val="clear" w:color="auto" w:fill="DDDDDD"/>
          </w:tcPr>
          <w:p>
            <w:pPr>
              <w:jc w:val="center"/>
              <w:ind w:right="151"/>
              <w:spacing w:after="0" w:line="239" w:lineRule="exact"/>
              <w:rPr>
                <w:sz w:val="20"/>
                <w:szCs w:val="20"/>
                <w:color w:val="auto"/>
              </w:rPr>
            </w:pPr>
            <w:r>
              <w:rPr>
                <w:rFonts w:ascii="Times New Roman" w:cs="Times New Roman" w:eastAsia="Times New Roman" w:hAnsi="Times New Roman"/>
                <w:sz w:val="17"/>
                <w:szCs w:val="17"/>
                <w:b w:val="1"/>
                <w:bCs w:val="1"/>
                <w:color w:val="auto"/>
              </w:rPr>
              <w:t>Officers</w:t>
            </w:r>
            <w:r>
              <w:rPr>
                <w:rFonts w:ascii="Times New Roman" w:cs="Times New Roman" w:eastAsia="Times New Roman" w:hAnsi="Times New Roman"/>
                <w:sz w:val="27"/>
                <w:szCs w:val="27"/>
                <w:b w:val="1"/>
                <w:bCs w:val="1"/>
                <w:color w:val="auto"/>
                <w:vertAlign w:val="superscript"/>
              </w:rPr>
              <w:t>(4)</w:t>
            </w:r>
          </w:p>
        </w:tc>
        <w:tc>
          <w:tcPr>
            <w:tcW w:w="10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340" w:type="dxa"/>
            <w:vAlign w:val="bottom"/>
            <w:tcBorders>
              <w:bottom w:val="single" w:sz="8" w:color="auto"/>
            </w:tcBorders>
            <w:shd w:val="clear" w:color="auto" w:fill="DDDDDD"/>
          </w:tcPr>
          <w:p>
            <w:pPr>
              <w:jc w:val="center"/>
              <w:ind w:right="111"/>
              <w:spacing w:after="0" w:line="239" w:lineRule="exact"/>
              <w:rPr>
                <w:sz w:val="20"/>
                <w:szCs w:val="20"/>
                <w:color w:val="auto"/>
              </w:rPr>
            </w:pPr>
            <w:r>
              <w:rPr>
                <w:rFonts w:ascii="Times New Roman" w:cs="Times New Roman" w:eastAsia="Times New Roman" w:hAnsi="Times New Roman"/>
                <w:sz w:val="17"/>
                <w:szCs w:val="17"/>
                <w:b w:val="1"/>
                <w:bCs w:val="1"/>
                <w:color w:val="auto"/>
                <w:w w:val="97"/>
              </w:rPr>
              <w:t>Officers</w:t>
            </w:r>
            <w:r>
              <w:rPr>
                <w:rFonts w:ascii="Times New Roman" w:cs="Times New Roman" w:eastAsia="Times New Roman" w:hAnsi="Times New Roman"/>
                <w:sz w:val="27"/>
                <w:szCs w:val="27"/>
                <w:b w:val="1"/>
                <w:bCs w:val="1"/>
                <w:color w:val="auto"/>
                <w:w w:val="97"/>
                <w:vertAlign w:val="superscript"/>
              </w:rPr>
              <w:t>(5)(6)</w:t>
            </w:r>
          </w:p>
        </w:tc>
        <w:tc>
          <w:tcPr>
            <w:tcW w:w="12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440" w:type="dxa"/>
            <w:vAlign w:val="bottom"/>
            <w:tcBorders>
              <w:bottom w:val="single" w:sz="8" w:color="auto"/>
            </w:tcBorders>
            <w:shd w:val="clear" w:color="auto" w:fill="DDDDDD"/>
          </w:tcPr>
          <w:p>
            <w:pPr>
              <w:jc w:val="center"/>
              <w:ind w:right="111"/>
              <w:spacing w:after="0" w:line="239" w:lineRule="exact"/>
              <w:rPr>
                <w:sz w:val="20"/>
                <w:szCs w:val="20"/>
                <w:color w:val="auto"/>
              </w:rPr>
            </w:pPr>
            <w:r>
              <w:rPr>
                <w:rFonts w:ascii="Times New Roman" w:cs="Times New Roman" w:eastAsia="Times New Roman" w:hAnsi="Times New Roman"/>
                <w:sz w:val="17"/>
                <w:szCs w:val="17"/>
                <w:b w:val="1"/>
                <w:bCs w:val="1"/>
                <w:color w:val="auto"/>
                <w:w w:val="98"/>
              </w:rPr>
              <w:t>Return</w:t>
            </w:r>
            <w:r>
              <w:rPr>
                <w:rFonts w:ascii="Times New Roman" w:cs="Times New Roman" w:eastAsia="Times New Roman" w:hAnsi="Times New Roman"/>
                <w:sz w:val="27"/>
                <w:szCs w:val="27"/>
                <w:b w:val="1"/>
                <w:bCs w:val="1"/>
                <w:color w:val="auto"/>
                <w:w w:val="98"/>
                <w:vertAlign w:val="superscript"/>
              </w:rPr>
              <w:t>(7)</w:t>
            </w:r>
          </w:p>
        </w:tc>
        <w:tc>
          <w:tcPr>
            <w:tcW w:w="12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spacing w:after="0"/>
              <w:rPr>
                <w:sz w:val="20"/>
                <w:szCs w:val="20"/>
                <w:color w:val="auto"/>
              </w:rPr>
            </w:pPr>
          </w:p>
        </w:tc>
        <w:tc>
          <w:tcPr>
            <w:tcW w:w="1340" w:type="dxa"/>
            <w:vAlign w:val="bottom"/>
            <w:tcBorders>
              <w:bottom w:val="single" w:sz="8" w:color="auto"/>
            </w:tcBorders>
            <w:shd w:val="clear" w:color="auto" w:fill="DDDDDD"/>
          </w:tcPr>
          <w:p>
            <w:pPr>
              <w:jc w:val="right"/>
              <w:ind w:right="151"/>
              <w:spacing w:after="0" w:line="239" w:lineRule="exact"/>
              <w:rPr>
                <w:sz w:val="20"/>
                <w:szCs w:val="20"/>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27"/>
                <w:szCs w:val="27"/>
                <w:b w:val="1"/>
                <w:bCs w:val="1"/>
                <w:color w:val="auto"/>
                <w:vertAlign w:val="superscript"/>
              </w:rPr>
              <w:t>(8)</w:t>
            </w:r>
          </w:p>
        </w:tc>
      </w:tr>
      <w:tr>
        <w:trPr>
          <w:trHeight w:val="191"/>
        </w:trPr>
        <w:tc>
          <w:tcPr>
            <w:tcW w:w="136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785,383</w:t>
            </w:r>
          </w:p>
        </w:tc>
        <w:tc>
          <w:tcPr>
            <w:tcW w:w="22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453,021</w:t>
            </w:r>
          </w:p>
        </w:tc>
        <w:tc>
          <w:tcPr>
            <w:tcW w:w="2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583,692</w:t>
            </w:r>
          </w:p>
        </w:tc>
        <w:tc>
          <w:tcPr>
            <w:tcW w:w="2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338,033</w:t>
            </w:r>
          </w:p>
        </w:tc>
        <w:tc>
          <w:tcPr>
            <w:tcW w:w="22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68.93</w:t>
            </w:r>
          </w:p>
        </w:tc>
        <w:tc>
          <w:tcPr>
            <w:tcW w:w="22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line="191" w:lineRule="exact"/>
              <w:rPr>
                <w:sz w:val="20"/>
                <w:szCs w:val="20"/>
                <w:color w:val="auto"/>
              </w:rPr>
            </w:pPr>
            <w:r>
              <w:rPr>
                <w:rFonts w:ascii="Times New Roman" w:cs="Times New Roman" w:eastAsia="Times New Roman" w:hAnsi="Times New Roman"/>
                <w:sz w:val="18"/>
                <w:szCs w:val="18"/>
                <w:color w:val="auto"/>
              </w:rPr>
              <w:t>986,393</w:t>
            </w:r>
          </w:p>
        </w:tc>
      </w:tr>
      <w:tr>
        <w:trPr>
          <w:trHeight w:val="216"/>
        </w:trPr>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702,848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6,321,384</w:t>
            </w:r>
          </w:p>
        </w:tc>
      </w:tr>
      <w:tr>
        <w:trPr>
          <w:trHeight w:val="234"/>
        </w:trPr>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889,044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979,458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660,312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727,138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4,237,731</w:t>
            </w: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5" w:lineRule="exact"/>
        <w:rPr>
          <w:sz w:val="20"/>
          <w:szCs w:val="20"/>
          <w:color w:val="auto"/>
        </w:rPr>
      </w:pPr>
    </w:p>
    <w:p>
      <w:pPr>
        <w:ind w:left="660" w:right="920" w:hanging="652"/>
        <w:spacing w:after="0" w:line="284" w:lineRule="auto"/>
        <w:tabs>
          <w:tab w:leader="none" w:pos="6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Summary Compensation Table total for our CEO for each of the fiscal years presented. See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compensation actually paid to our CEO for each of the fiscal years presented. The dollar amounts in this column do not reflect the actual amount of compensation earned by or paid to our CEO during the applicable fiscal year.</w:t>
      </w:r>
    </w:p>
    <w:p>
      <w:pPr>
        <w:spacing w:after="0" w:line="161"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to our PEO consists of the following amounts deducted from or added to the Summary Compensation Table total for our CEO for each of the fiscal years presented:</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5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680" w:type="dxa"/>
            <w:vAlign w:val="bottom"/>
            <w:tcBorders>
              <w:top w:val="single" w:sz="8" w:color="auto"/>
              <w:bottom w:val="single" w:sz="8" w:color="auto"/>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 Patrick Lynch</w:t>
            </w:r>
          </w:p>
        </w:tc>
      </w:tr>
      <w:tr>
        <w:trPr>
          <w:trHeight w:val="209"/>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Compensation Table Total for Fiscal 2025</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785,383</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Stock awards</w:t>
            </w:r>
            <w:r>
              <w:rPr>
                <w:rFonts w:ascii="Times New Roman" w:cs="Times New Roman" w:eastAsia="Times New Roman" w:hAnsi="Times New Roman"/>
                <w:sz w:val="24"/>
                <w:szCs w:val="24"/>
                <w:color w:val="auto"/>
                <w:vertAlign w:val="superscript"/>
              </w:rPr>
              <w:t>(a)</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Option awards</w:t>
            </w:r>
            <w:r>
              <w:rPr>
                <w:rFonts w:ascii="Times New Roman" w:cs="Times New Roman" w:eastAsia="Times New Roman" w:hAnsi="Times New Roman"/>
                <w:sz w:val="24"/>
                <w:szCs w:val="24"/>
                <w:color w:val="auto"/>
                <w:vertAlign w:val="superscript"/>
              </w:rPr>
              <w:t>(b)</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224,768</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Fiscal year-end value of equity awards granted during the fiscal year that are outstanding and unvested</w:t>
            </w:r>
            <w:r>
              <w:rPr>
                <w:rFonts w:ascii="Times New Roman" w:cs="Times New Roman" w:eastAsia="Times New Roman" w:hAnsi="Times New Roman"/>
                <w:sz w:val="24"/>
                <w:szCs w:val="24"/>
                <w:color w:val="auto"/>
                <w:vertAlign w:val="superscript"/>
              </w:rPr>
              <w:t>(c)</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126,949</w:t>
            </w:r>
          </w:p>
        </w:tc>
      </w:tr>
      <w:tr>
        <w:trPr>
          <w:trHeight w:val="209"/>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are outstanding and unvested</w:t>
            </w:r>
            <w:r>
              <w:rPr>
                <w:rFonts w:ascii="Times New Roman" w:cs="Times New Roman" w:eastAsia="Times New Roman" w:hAnsi="Times New Roman"/>
                <w:sz w:val="24"/>
                <w:szCs w:val="24"/>
                <w:color w:val="auto"/>
                <w:vertAlign w:val="superscript"/>
              </w:rPr>
              <w:t>(d)</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(117,891)</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vested during the fiscal year</w:t>
            </w:r>
            <w:r>
              <w:rPr>
                <w:rFonts w:ascii="Times New Roman" w:cs="Times New Roman" w:eastAsia="Times New Roman" w:hAnsi="Times New Roman"/>
                <w:sz w:val="24"/>
                <w:szCs w:val="24"/>
                <w:color w:val="auto"/>
                <w:vertAlign w:val="superscript"/>
              </w:rPr>
              <w:t>(e)</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(116,652)</w:t>
            </w:r>
          </w:p>
        </w:tc>
      </w:tr>
      <w:tr>
        <w:trPr>
          <w:trHeight w:val="210"/>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 Value of dividend equivalents accrued on equity awards during the fiscal year</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Actually Paid for Fiscal 2025</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453,021</w:t>
            </w:r>
          </w:p>
        </w:tc>
      </w:tr>
      <w:tr>
        <w:trPr>
          <w:trHeight w:val="209"/>
        </w:trPr>
        <w:tc>
          <w:tcPr>
            <w:tcW w:w="956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r>
      <w:tr>
        <w:trPr>
          <w:trHeight w:val="210"/>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Compensation Table Total for Fiscal 2024</w:t>
            </w: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946,597</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Stock awards</w:t>
            </w:r>
            <w:r>
              <w:rPr>
                <w:rFonts w:ascii="Times New Roman" w:cs="Times New Roman" w:eastAsia="Times New Roman" w:hAnsi="Times New Roman"/>
                <w:sz w:val="24"/>
                <w:szCs w:val="24"/>
                <w:color w:val="auto"/>
                <w:vertAlign w:val="superscript"/>
              </w:rPr>
              <w:t>(a)</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Option awards</w:t>
            </w:r>
            <w:r>
              <w:rPr>
                <w:rFonts w:ascii="Times New Roman" w:cs="Times New Roman" w:eastAsia="Times New Roman" w:hAnsi="Times New Roman"/>
                <w:sz w:val="24"/>
                <w:szCs w:val="24"/>
                <w:color w:val="auto"/>
                <w:vertAlign w:val="superscript"/>
              </w:rPr>
              <w:t>(b)</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228,721</w:t>
            </w:r>
          </w:p>
        </w:tc>
      </w:tr>
      <w:tr>
        <w:trPr>
          <w:trHeight w:val="209"/>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Fiscal year-end value of equity awards granted during the fiscal year that are outstanding and unvested</w:t>
            </w:r>
            <w:r>
              <w:rPr>
                <w:rFonts w:ascii="Times New Roman" w:cs="Times New Roman" w:eastAsia="Times New Roman" w:hAnsi="Times New Roman"/>
                <w:sz w:val="24"/>
                <w:szCs w:val="24"/>
                <w:color w:val="auto"/>
                <w:vertAlign w:val="superscript"/>
              </w:rPr>
              <w:t>(c)</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226,905</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are outstanding and unvested</w:t>
            </w:r>
            <w:r>
              <w:rPr>
                <w:rFonts w:ascii="Times New Roman" w:cs="Times New Roman" w:eastAsia="Times New Roman" w:hAnsi="Times New Roman"/>
                <w:sz w:val="24"/>
                <w:szCs w:val="24"/>
                <w:color w:val="auto"/>
                <w:vertAlign w:val="superscript"/>
              </w:rPr>
              <w:t>(d)</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5,737</w:t>
            </w:r>
          </w:p>
        </w:tc>
      </w:tr>
      <w:tr>
        <w:trPr>
          <w:trHeight w:val="426"/>
        </w:trPr>
        <w:tc>
          <w:tcPr>
            <w:tcW w:w="9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95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5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680" w:type="dxa"/>
            <w:vAlign w:val="bottom"/>
            <w:tcBorders>
              <w:top w:val="single" w:sz="8" w:color="auto"/>
              <w:bottom w:val="single" w:sz="8" w:color="auto"/>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 Patrick Lynch</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vested during the fiscal year</w:t>
            </w:r>
            <w:r>
              <w:rPr>
                <w:rFonts w:ascii="Times New Roman" w:cs="Times New Roman" w:eastAsia="Times New Roman" w:hAnsi="Times New Roman"/>
                <w:sz w:val="24"/>
                <w:szCs w:val="24"/>
                <w:color w:val="auto"/>
                <w:vertAlign w:val="superscript"/>
              </w:rPr>
              <w:t>(e)</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6,509</w:t>
            </w:r>
          </w:p>
        </w:tc>
      </w:tr>
      <w:tr>
        <w:trPr>
          <w:trHeight w:val="209"/>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 Value of dividend equivalents accrued on equity awards during the fiscal year</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Actually Paid for Fiscal 2024</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957,026</w:t>
            </w:r>
          </w:p>
        </w:tc>
      </w:tr>
      <w:tr>
        <w:trPr>
          <w:trHeight w:val="210"/>
        </w:trPr>
        <w:tc>
          <w:tcPr>
            <w:tcW w:w="956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r>
      <w:tr>
        <w:trPr>
          <w:trHeight w:val="209"/>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Compensation Table Total for Fiscal 2023</w:t>
            </w: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889,044</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Stock awards</w:t>
            </w:r>
            <w:r>
              <w:rPr>
                <w:rFonts w:ascii="Times New Roman" w:cs="Times New Roman" w:eastAsia="Times New Roman" w:hAnsi="Times New Roman"/>
                <w:sz w:val="24"/>
                <w:szCs w:val="24"/>
                <w:color w:val="auto"/>
                <w:vertAlign w:val="superscript"/>
              </w:rPr>
              <w:t>(a)</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Option awards</w:t>
            </w:r>
            <w:r>
              <w:rPr>
                <w:rFonts w:ascii="Times New Roman" w:cs="Times New Roman" w:eastAsia="Times New Roman" w:hAnsi="Times New Roman"/>
                <w:sz w:val="24"/>
                <w:szCs w:val="24"/>
                <w:color w:val="auto"/>
                <w:vertAlign w:val="superscript"/>
              </w:rPr>
              <w:t>(b)</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230,455</w:t>
            </w:r>
          </w:p>
        </w:tc>
      </w:tr>
      <w:tr>
        <w:trPr>
          <w:trHeight w:val="209"/>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Fiscal year-end value of equity awards granted during the fiscal year that are outstanding and unvested</w:t>
            </w:r>
            <w:r>
              <w:rPr>
                <w:rFonts w:ascii="Times New Roman" w:cs="Times New Roman" w:eastAsia="Times New Roman" w:hAnsi="Times New Roman"/>
                <w:sz w:val="24"/>
                <w:szCs w:val="24"/>
                <w:color w:val="auto"/>
                <w:vertAlign w:val="superscript"/>
              </w:rPr>
              <w:t>(c)</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272,272</w:t>
            </w:r>
          </w:p>
        </w:tc>
      </w:tr>
      <w:tr>
        <w:trPr>
          <w:trHeight w:val="210"/>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are outstanding and unvested</w:t>
            </w:r>
            <w:r>
              <w:rPr>
                <w:rFonts w:ascii="Times New Roman" w:cs="Times New Roman" w:eastAsia="Times New Roman" w:hAnsi="Times New Roman"/>
                <w:sz w:val="24"/>
                <w:szCs w:val="24"/>
                <w:color w:val="auto"/>
                <w:vertAlign w:val="superscript"/>
              </w:rPr>
              <w:t>(d)</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27,498</w:t>
            </w:r>
          </w:p>
        </w:tc>
      </w:tr>
      <w:tr>
        <w:trPr>
          <w:trHeight w:val="209"/>
        </w:trPr>
        <w:tc>
          <w:tcPr>
            <w:tcW w:w="956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vested during the fiscal year</w:t>
            </w:r>
            <w:r>
              <w:rPr>
                <w:rFonts w:ascii="Times New Roman" w:cs="Times New Roman" w:eastAsia="Times New Roman" w:hAnsi="Times New Roman"/>
                <w:sz w:val="24"/>
                <w:szCs w:val="24"/>
                <w:color w:val="auto"/>
                <w:vertAlign w:val="superscript"/>
              </w:rPr>
              <w:t>(e)</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21,099</w:t>
            </w:r>
          </w:p>
        </w:tc>
      </w:tr>
      <w:tr>
        <w:trPr>
          <w:trHeight w:val="210"/>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 Value of dividend equivalents accrued on equity awards during the fiscal year</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Actually Paid for Fiscal 2023</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979,458</w:t>
            </w:r>
          </w:p>
        </w:tc>
      </w:tr>
    </w:tbl>
    <w:p>
      <w:pPr>
        <w:spacing w:after="0" w:line="198" w:lineRule="exact"/>
        <w:rPr>
          <w:sz w:val="20"/>
          <w:szCs w:val="20"/>
          <w:color w:val="auto"/>
        </w:rPr>
      </w:pPr>
    </w:p>
    <w:p>
      <w:pPr>
        <w:ind w:left="980" w:right="3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of the amounts reported in the “Stock Awards” column in the Summary Compensation Table for the applicable fiscal year.</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of the amounts reported in the “Option Awards” column in the Summary Compensation Table for the applicable fiscal year.</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year-end value of equity awards granted during the applicable fiscal year that are outstanding and unvested as of the end of such applicable fiscal year.</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change as of the end of the applicable fiscal year (from the end of the prior fiscal year) in fair value of any equity awards granted in prior fiscal years that are outstanding and unvested as of the end of such applicable fiscal year.</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change as of the vesting date (from the end of the prior fiscal year) in fair value of any equity awards granted in prior fiscal years that vested during the applicable fiscal year.</w:t>
      </w:r>
    </w:p>
    <w:p>
      <w:pPr>
        <w:spacing w:after="0" w:line="162"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Since we do not have a pension plan, all of the foregoing adjustments are equity award adjustments for each applicable fiscal year and include the addition (or subtraction, as applicable) of the following: (i) the fiscal year-end fair value of any equity awards granted in the applicable fiscal year that are outstanding and unvested as of the end of such applicable fiscal year; (ii) the amount of change as of the end of the applicable fiscal year (from the end of the prior fiscal year) in fair value of any equity awards granted in prior fiscal years that are outstanding and unvested as of the end of such applicable fiscal year; (iii) for equity awards that are granted and vest in the same applicable fiscal year, the fair value as of the vesting date; (iv) for equity awards granted in prior fiscal years that vest in the applicable fiscal year, the amount equal to the change as of the vesting date (from the end of the prior fiscal year) in fair value; (v) for equity awards granted in prior fiscal years that are determined to fail to meet the applicable vesting conditions during the applicable fiscal year, a deduction for the amount equal to the fair value at the end of the prior fiscal year; and (vi) the dollar value of any dividends or other earnings paid on equity awards in the applicable fiscal year prior to the vesting date that are not otherwise reflected in the fair value of such award or included in any other component of total compensation for such applicable fiscal year. Adjustments as provided in clauses (iii) and (vi) are inapplicable for all of the fiscal years presented in the table.</w:t>
      </w:r>
    </w:p>
    <w:p>
      <w:pPr>
        <w:spacing w:after="0" w:line="19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valuation assumptions used to calculate fair values did not materially differ from those disclosed at the time of grant. The value of option awards is based on the fair value as of the end of the covered fiscal year or change in fair value during the covered fiscal year, in each case based on our Black-Scholes option pricing model, the assumptions of which are described in Note 11 to our consolidated financial statements included in our Annual Report on Form 10-K for the year ended August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72" w:name="page73"/>
    <w:bookmarkEnd w:id="72"/>
    <w:p>
      <w:pPr>
        <w:ind w:left="660" w:right="160" w:hanging="652"/>
        <w:spacing w:after="0" w:line="282" w:lineRule="auto"/>
        <w:tabs>
          <w:tab w:leader="none" w:pos="6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Summary Compensation Table total for non-PEO named executive officers reflects the Summary Compensation Table total for Matthew C. Wolsfeld.</w:t>
      </w:r>
    </w:p>
    <w:p>
      <w:pPr>
        <w:spacing w:after="0" w:line="161" w:lineRule="exact"/>
        <w:rPr>
          <w:rFonts w:ascii="Times New Roman" w:cs="Times New Roman" w:eastAsia="Times New Roman" w:hAnsi="Times New Roman"/>
          <w:sz w:val="18"/>
          <w:szCs w:val="18"/>
          <w:color w:val="auto"/>
        </w:rPr>
      </w:pPr>
    </w:p>
    <w:p>
      <w:pPr>
        <w:jc w:val="both"/>
        <w:ind w:left="660" w:right="220" w:hanging="652"/>
        <w:spacing w:after="0" w:line="266" w:lineRule="auto"/>
        <w:tabs>
          <w:tab w:leader="none" w:pos="6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compensation actually paid to Matthew C. Wolsfeld, our only other non-PEO named executive officer, for each of the fiscal years presented. The dollar amounts in this column do not reflect the actual average amount of compensation earned by or paid to the non-PEO during the applicable fiscal year.</w:t>
      </w:r>
    </w:p>
    <w:p>
      <w:pPr>
        <w:spacing w:after="0" w:line="175" w:lineRule="exact"/>
        <w:rPr>
          <w:rFonts w:ascii="Times New Roman" w:cs="Times New Roman" w:eastAsia="Times New Roman" w:hAnsi="Times New Roman"/>
          <w:sz w:val="18"/>
          <w:szCs w:val="18"/>
          <w:color w:val="auto"/>
        </w:rPr>
      </w:pPr>
    </w:p>
    <w:p>
      <w:pPr>
        <w:ind w:left="660" w:right="380" w:hanging="652"/>
        <w:spacing w:after="0" w:line="282" w:lineRule="auto"/>
        <w:tabs>
          <w:tab w:leader="none" w:pos="6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compensation actually paid to our non-PEO named executive officer consists of the following amounts deducted from or added to the Summary Compensation Table total for our CFO for each of the fiscal years presented:</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68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Matthew C.</w:t>
            </w:r>
          </w:p>
        </w:tc>
      </w:tr>
      <w:tr>
        <w:trPr>
          <w:trHeight w:val="238"/>
        </w:trPr>
        <w:tc>
          <w:tcPr>
            <w:tcW w:w="968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Wolsfeld</w:t>
            </w:r>
          </w:p>
        </w:tc>
      </w:tr>
      <w:tr>
        <w:trPr>
          <w:trHeight w:val="209"/>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Compensation Table Total for Fiscal 2025</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583,692</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Stock awards</w:t>
            </w:r>
            <w:r>
              <w:rPr>
                <w:rFonts w:ascii="Times New Roman" w:cs="Times New Roman" w:eastAsia="Times New Roman" w:hAnsi="Times New Roman"/>
                <w:sz w:val="24"/>
                <w:szCs w:val="24"/>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Option awards</w:t>
            </w:r>
            <w:r>
              <w:rPr>
                <w:rFonts w:ascii="Times New Roman" w:cs="Times New Roman" w:eastAsia="Times New Roman" w:hAnsi="Times New Roman"/>
                <w:sz w:val="24"/>
                <w:szCs w:val="24"/>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166,133</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Fiscal year-end value of equity awards granted during the fiscal year that are outstanding and unvested</w:t>
            </w:r>
            <w:r>
              <w:rPr>
                <w:rFonts w:ascii="Times New Roman" w:cs="Times New Roman" w:eastAsia="Times New Roman" w:hAnsi="Times New Roman"/>
                <w:sz w:val="24"/>
                <w:szCs w:val="24"/>
                <w:color w:val="auto"/>
                <w:vertAlign w:val="superscript"/>
              </w:rPr>
              <w:t>(c)</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93,832</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are outstanding and unvested</w:t>
            </w:r>
            <w:r>
              <w:rPr>
                <w:rFonts w:ascii="Times New Roman" w:cs="Times New Roman" w:eastAsia="Times New Roman" w:hAnsi="Times New Roman"/>
                <w:sz w:val="24"/>
                <w:szCs w:val="24"/>
                <w:color w:val="auto"/>
                <w:vertAlign w:val="superscript"/>
              </w:rPr>
              <w:t>(d)</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(87,137)</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vested during the fiscal year</w:t>
            </w:r>
            <w:r>
              <w:rPr>
                <w:rFonts w:ascii="Times New Roman" w:cs="Times New Roman" w:eastAsia="Times New Roman" w:hAnsi="Times New Roman"/>
                <w:sz w:val="24"/>
                <w:szCs w:val="24"/>
                <w:color w:val="auto"/>
                <w:vertAlign w:val="superscript"/>
              </w:rPr>
              <w:t>(e)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(86,221)</w:t>
            </w:r>
          </w:p>
        </w:tc>
      </w:tr>
      <w:tr>
        <w:trPr>
          <w:trHeight w:val="210"/>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 Value of dividend equivalents accrued on equity awards during the fiscal year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Actually Paid for Fiscal 2025</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338,033</w:t>
            </w:r>
          </w:p>
        </w:tc>
      </w:tr>
      <w:tr>
        <w:trPr>
          <w:trHeight w:val="209"/>
        </w:trPr>
        <w:tc>
          <w:tcPr>
            <w:tcW w:w="968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10"/>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Compensation Table Total for Fiscal 2024</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702,848</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Stock awards</w:t>
            </w:r>
            <w:r>
              <w:rPr>
                <w:rFonts w:ascii="Times New Roman" w:cs="Times New Roman" w:eastAsia="Times New Roman" w:hAnsi="Times New Roman"/>
                <w:sz w:val="24"/>
                <w:szCs w:val="24"/>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Option awards</w:t>
            </w:r>
            <w:r>
              <w:rPr>
                <w:rFonts w:ascii="Times New Roman" w:cs="Times New Roman" w:eastAsia="Times New Roman" w:hAnsi="Times New Roman"/>
                <w:sz w:val="24"/>
                <w:szCs w:val="24"/>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169,054</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Fiscal year-end value of equity awards granted during the fiscal year that are outstanding and unvested</w:t>
            </w:r>
            <w:r>
              <w:rPr>
                <w:rFonts w:ascii="Times New Roman" w:cs="Times New Roman" w:eastAsia="Times New Roman" w:hAnsi="Times New Roman"/>
                <w:sz w:val="24"/>
                <w:szCs w:val="24"/>
                <w:color w:val="auto"/>
                <w:vertAlign w:val="superscript"/>
              </w:rPr>
              <w:t>(c)</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167,715</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are outstanding and unvested</w:t>
            </w:r>
            <w:r>
              <w:rPr>
                <w:rFonts w:ascii="Times New Roman" w:cs="Times New Roman" w:eastAsia="Times New Roman" w:hAnsi="Times New Roman"/>
                <w:sz w:val="24"/>
                <w:szCs w:val="24"/>
                <w:color w:val="auto"/>
                <w:vertAlign w:val="superscript"/>
              </w:rPr>
              <w:t>(d)</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4,240</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vested during the fiscal year</w:t>
            </w:r>
            <w:r>
              <w:rPr>
                <w:rFonts w:ascii="Times New Roman" w:cs="Times New Roman" w:eastAsia="Times New Roman" w:hAnsi="Times New Roman"/>
                <w:sz w:val="24"/>
                <w:szCs w:val="24"/>
                <w:color w:val="auto"/>
                <w:vertAlign w:val="superscript"/>
              </w:rPr>
              <w:t>(e)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4,811</w:t>
            </w:r>
          </w:p>
        </w:tc>
      </w:tr>
      <w:tr>
        <w:trPr>
          <w:trHeight w:val="210"/>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 Value of dividend equivalents accrued on equity awards during the fiscal year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Actually Paid for Fiscal 2024</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710,560</w:t>
            </w:r>
          </w:p>
        </w:tc>
      </w:tr>
      <w:tr>
        <w:trPr>
          <w:trHeight w:val="210"/>
        </w:trPr>
        <w:tc>
          <w:tcPr>
            <w:tcW w:w="968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Compensation Table Total for Fiscal 2023</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660,312</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Stock awards</w:t>
            </w:r>
            <w:r>
              <w:rPr>
                <w:rFonts w:ascii="Times New Roman" w:cs="Times New Roman" w:eastAsia="Times New Roman" w:hAnsi="Times New Roman"/>
                <w:sz w:val="24"/>
                <w:szCs w:val="24"/>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Deduct</w:t>
            </w:r>
            <w:r>
              <w:rPr>
                <w:rFonts w:ascii="Times New Roman" w:cs="Times New Roman" w:eastAsia="Times New Roman" w:hAnsi="Times New Roman"/>
                <w:sz w:val="15"/>
                <w:szCs w:val="15"/>
                <w:color w:val="auto"/>
              </w:rPr>
              <w:t>: Option awards</w:t>
            </w:r>
            <w:r>
              <w:rPr>
                <w:rFonts w:ascii="Times New Roman" w:cs="Times New Roman" w:eastAsia="Times New Roman" w:hAnsi="Times New Roman"/>
                <w:sz w:val="24"/>
                <w:szCs w:val="24"/>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170,337</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Fiscal year-end value of equity awards granted during the fiscal year that are outstanding and unvested</w:t>
            </w:r>
            <w:r>
              <w:rPr>
                <w:rFonts w:ascii="Times New Roman" w:cs="Times New Roman" w:eastAsia="Times New Roman" w:hAnsi="Times New Roman"/>
                <w:sz w:val="24"/>
                <w:szCs w:val="24"/>
                <w:color w:val="auto"/>
                <w:vertAlign w:val="superscript"/>
              </w:rPr>
              <w:t>(c)</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201,243</w:t>
            </w:r>
          </w:p>
        </w:tc>
      </w:tr>
      <w:tr>
        <w:trPr>
          <w:trHeight w:val="209"/>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are outstanding and unvested</w:t>
            </w:r>
            <w:r>
              <w:rPr>
                <w:rFonts w:ascii="Times New Roman" w:cs="Times New Roman" w:eastAsia="Times New Roman" w:hAnsi="Times New Roman"/>
                <w:sz w:val="24"/>
                <w:szCs w:val="24"/>
                <w:color w:val="auto"/>
                <w:vertAlign w:val="superscript"/>
              </w:rPr>
              <w:t>(d)</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20,325</w:t>
            </w:r>
          </w:p>
        </w:tc>
      </w:tr>
      <w:tr>
        <w:trPr>
          <w:trHeight w:val="210"/>
        </w:trPr>
        <w:tc>
          <w:tcPr>
            <w:tcW w:w="9680" w:type="dxa"/>
            <w:vAlign w:val="bottom"/>
            <w:tcBorders>
              <w:left w:val="single" w:sz="8" w:color="auto"/>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b w:val="1"/>
                <w:bCs w:val="1"/>
                <w:i w:val="1"/>
                <w:iCs w:val="1"/>
                <w:color w:val="auto"/>
              </w:rPr>
              <w:t>Add</w:t>
            </w:r>
            <w:r>
              <w:rPr>
                <w:rFonts w:ascii="Times New Roman" w:cs="Times New Roman" w:eastAsia="Times New Roman" w:hAnsi="Times New Roman"/>
                <w:sz w:val="15"/>
                <w:szCs w:val="15"/>
                <w:color w:val="auto"/>
              </w:rPr>
              <w:t>: Change in fair value of equity awards granted in prior fiscal years that vested during the year</w:t>
            </w:r>
            <w:r>
              <w:rPr>
                <w:rFonts w:ascii="Times New Roman" w:cs="Times New Roman" w:eastAsia="Times New Roman" w:hAnsi="Times New Roman"/>
                <w:sz w:val="24"/>
                <w:szCs w:val="24"/>
                <w:color w:val="auto"/>
                <w:vertAlign w:val="superscript"/>
              </w:rPr>
              <w:t>(e)</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15,595</w:t>
            </w:r>
          </w:p>
        </w:tc>
      </w:tr>
      <w:tr>
        <w:trPr>
          <w:trHeight w:val="210"/>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 Value of dividend equivalents accrued on equity awards during the fiscal year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96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Actually Paid for Fiscal 2023</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727,138</w:t>
            </w:r>
          </w:p>
        </w:tc>
      </w:tr>
    </w:tbl>
    <w:p>
      <w:pPr>
        <w:spacing w:after="0" w:line="198" w:lineRule="exact"/>
        <w:rPr>
          <w:sz w:val="20"/>
          <w:szCs w:val="20"/>
          <w:color w:val="auto"/>
        </w:rPr>
      </w:pPr>
    </w:p>
    <w:p>
      <w:pPr>
        <w:ind w:left="980" w:right="3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of the amounts reported in the “Stock Awards” column in the Summary Compensation Table for the applicable fiscal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left="972" w:right="300" w:hanging="324"/>
        <w:spacing w:after="0" w:line="282" w:lineRule="auto"/>
        <w:tabs>
          <w:tab w:leader="none" w:pos="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of the amounts reported in the “Option Awards” column in the Summary Compensation Table for the applicable fiscal year.</w:t>
      </w:r>
    </w:p>
    <w:p>
      <w:pPr>
        <w:spacing w:after="0" w:line="161" w:lineRule="exact"/>
        <w:rPr>
          <w:rFonts w:ascii="Times New Roman" w:cs="Times New Roman" w:eastAsia="Times New Roman" w:hAnsi="Times New Roman"/>
          <w:sz w:val="18"/>
          <w:szCs w:val="18"/>
          <w:color w:val="auto"/>
        </w:rPr>
      </w:pPr>
    </w:p>
    <w:p>
      <w:pPr>
        <w:ind w:left="972" w:right="80" w:hanging="324"/>
        <w:spacing w:after="0" w:line="282" w:lineRule="auto"/>
        <w:tabs>
          <w:tab w:leader="none" w:pos="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year-end value of equity awards granted during the applicable fiscal year that are outstanding and unvested as of the end of such applicable fiscal year.</w:t>
      </w:r>
    </w:p>
    <w:p>
      <w:pPr>
        <w:spacing w:after="0" w:line="161" w:lineRule="exact"/>
        <w:rPr>
          <w:rFonts w:ascii="Times New Roman" w:cs="Times New Roman" w:eastAsia="Times New Roman" w:hAnsi="Times New Roman"/>
          <w:sz w:val="18"/>
          <w:szCs w:val="18"/>
          <w:color w:val="auto"/>
        </w:rPr>
      </w:pPr>
    </w:p>
    <w:p>
      <w:pPr>
        <w:ind w:left="972" w:right="240" w:hanging="324"/>
        <w:spacing w:after="0" w:line="282" w:lineRule="auto"/>
        <w:tabs>
          <w:tab w:leader="none" w:pos="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change as of the end of the applicable fiscal year (from the end of the prior fiscal year) in fair value of any equity awards granted in prior fiscal years that are outstanding and unvested as of the end of such applicable fiscal year.</w:t>
      </w:r>
    </w:p>
    <w:p>
      <w:pPr>
        <w:spacing w:after="0" w:line="161" w:lineRule="exact"/>
        <w:rPr>
          <w:rFonts w:ascii="Times New Roman" w:cs="Times New Roman" w:eastAsia="Times New Roman" w:hAnsi="Times New Roman"/>
          <w:sz w:val="18"/>
          <w:szCs w:val="18"/>
          <w:color w:val="auto"/>
        </w:rPr>
      </w:pPr>
    </w:p>
    <w:p>
      <w:pPr>
        <w:ind w:left="972" w:right="340" w:hanging="324"/>
        <w:spacing w:after="0" w:line="282" w:lineRule="auto"/>
        <w:tabs>
          <w:tab w:leader="none" w:pos="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change as of the vesting date (from the end of the prior fiscal year) in fair value of any equity awards granted in prior fiscal years that vested during the applicable fiscal year.</w:t>
      </w:r>
    </w:p>
    <w:p>
      <w:pPr>
        <w:spacing w:after="0" w:line="162" w:lineRule="exact"/>
        <w:rPr>
          <w:sz w:val="20"/>
          <w:szCs w:val="20"/>
          <w:color w:val="auto"/>
        </w:rPr>
      </w:pPr>
    </w:p>
    <w:p>
      <w:pPr>
        <w:ind w:left="652"/>
        <w:spacing w:after="0" w:line="253" w:lineRule="auto"/>
        <w:rPr>
          <w:sz w:val="20"/>
          <w:szCs w:val="20"/>
          <w:color w:val="auto"/>
        </w:rPr>
      </w:pPr>
      <w:r>
        <w:rPr>
          <w:rFonts w:ascii="Times New Roman" w:cs="Times New Roman" w:eastAsia="Times New Roman" w:hAnsi="Times New Roman"/>
          <w:sz w:val="18"/>
          <w:szCs w:val="18"/>
          <w:color w:val="auto"/>
        </w:rPr>
        <w:t>Since we do not have a pension plan, all of the foregoing adjustments are equity award adjustments for each applicable fiscal year and include the addition (or subtraction, as applicable) of the following: (i) the average fiscal year-end fair value of any equity awards granted in the applicable fiscal year that are outstanding and unvested as of the end of such applicable fiscal year; (ii) the average amount of change as of the end of the applicable fiscal year (from the end of the prior fiscal year) in fair value of any equity awards granted in prior fiscal years that are outstanding and unvested as of the end of such applicable fiscal year; (iii) for equity awards that are granted and vest in the same applicable fiscal year, the average fair value as of the vesting date; (iv) for equity awards granted in prior fiscal years that vest in the applicable fiscal year, the average amount equal to the change as of the vesting date (from the end of the prior fiscal year) in fair value; (v) for equity awards granted in prior fiscal years that are determined to fail to meet the applicable vesting conditions during the applicable fiscal year, a deduction for the amount equal to the average fair value at the end of the prior fiscal year; and (vi) the average dollar value of any dividends or other earnings paid on equity awards in the applicable fiscal year prior to the vesting date that are not otherwise reflected in the fair value of such award or included in any other component of total compensation for such applicable fiscal year. Adjustments as provided in clauses (iii) and (vi) are inapplicable for all of the fiscal years presented in the table.</w:t>
      </w:r>
    </w:p>
    <w:p>
      <w:pPr>
        <w:spacing w:after="0" w:line="190" w:lineRule="exact"/>
        <w:rPr>
          <w:sz w:val="20"/>
          <w:szCs w:val="20"/>
          <w:color w:val="auto"/>
        </w:rPr>
      </w:pPr>
    </w:p>
    <w:p>
      <w:pPr>
        <w:ind w:left="652"/>
        <w:spacing w:after="0" w:line="261" w:lineRule="auto"/>
        <w:rPr>
          <w:sz w:val="20"/>
          <w:szCs w:val="20"/>
          <w:color w:val="auto"/>
        </w:rPr>
      </w:pPr>
      <w:r>
        <w:rPr>
          <w:rFonts w:ascii="Times New Roman" w:cs="Times New Roman" w:eastAsia="Times New Roman" w:hAnsi="Times New Roman"/>
          <w:sz w:val="18"/>
          <w:szCs w:val="18"/>
          <w:color w:val="auto"/>
        </w:rPr>
        <w:t>The valuation assumptions used to calculate fair values did not materially differ from those disclosed at the time of grant. The value of option awards is based on the fair value as of the end of the covered fiscal year or change in fair value during the covered fiscal year, in each case based on our Black-Scholes option pricing model, the assumptions of which are described in Note 11 to our consolidated financial statements included in our Annual Report on Form 10-K for the year ended August 31, 2025.</w:t>
      </w:r>
    </w:p>
    <w:p>
      <w:pPr>
        <w:spacing w:after="0" w:line="180" w:lineRule="exact"/>
        <w:rPr>
          <w:sz w:val="20"/>
          <w:szCs w:val="20"/>
          <w:color w:val="auto"/>
        </w:rPr>
      </w:pPr>
    </w:p>
    <w:p>
      <w:pPr>
        <w:ind w:left="652" w:right="180" w:hanging="652"/>
        <w:spacing w:after="0" w:line="266" w:lineRule="auto"/>
        <w:tabs>
          <w:tab w:leader="none" w:pos="6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shareholder return is calculated by dividing the sum of the cumulative amount of dividends for the measurement period, assuming dividend reinvestment, and the difference between our common stock price at the end and the beginning of the measurement period by our stock price at the beginning of the measurement period.</w:t>
      </w:r>
    </w:p>
    <w:p>
      <w:pPr>
        <w:spacing w:after="0" w:line="17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amount of net income reflected in our audited consolidated financial statements for the applicable fiscal year and is presented in thousands.</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Pay Versus Performance Relationship</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SEC Regulation S-K, we are providing the following descriptions of the relationships between information presented in the Pay versus Performance table above.</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Actually Paid and Company TSR</w:t>
      </w:r>
      <w:r>
        <w:rPr>
          <w:rFonts w:ascii="Times New Roman" w:cs="Times New Roman" w:eastAsia="Times New Roman" w:hAnsi="Times New Roman"/>
          <w:sz w:val="18"/>
          <w:szCs w:val="18"/>
          <w:color w:val="auto"/>
        </w:rPr>
        <w:t>. As demonstrated by the following graph, the amount of compensation actually paid to our NEOs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aligned with our cumulative total stockholder return (“TSR”) (assuming reinvestment of dividends) on $100 invested in our common stock over the three fiscal years presented in the table. The overall alignment of compensation actually paid with our cumulative TSR over the period presented is because a significant portion of the compensation actually paid to our NEOs is comprised of equity awards, the value of which is driven by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144145</wp:posOffset>
            </wp:positionV>
            <wp:extent cx="3429000" cy="20059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Actually Paid and Net Income</w:t>
      </w:r>
      <w:r>
        <w:rPr>
          <w:rFonts w:ascii="Times New Roman" w:cs="Times New Roman" w:eastAsia="Times New Roman" w:hAnsi="Times New Roman"/>
          <w:sz w:val="18"/>
          <w:szCs w:val="18"/>
          <w:color w:val="auto"/>
        </w:rPr>
        <w:t>. As demonstrated by the following graph, the amount of compensation actually paid to our NEOs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somewhat aligned with our net income for each of the three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113030</wp:posOffset>
            </wp:positionV>
            <wp:extent cx="3429000" cy="20059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0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21" w:right="39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PERSON RELATIONSHIPS AND TRANSACTIONS</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Below under “—</w:t>
      </w:r>
      <w:r>
        <w:rPr>
          <w:rFonts w:ascii="Times New Roman" w:cs="Times New Roman" w:eastAsia="Times New Roman" w:hAnsi="Times New Roman"/>
          <w:sz w:val="18"/>
          <w:szCs w:val="18"/>
          <w:i w:val="1"/>
          <w:iCs w:val="1"/>
          <w:color w:val="auto"/>
        </w:rPr>
        <w:t>Description of Related Party Transactions</w:t>
      </w:r>
      <w:r>
        <w:rPr>
          <w:rFonts w:ascii="Times New Roman" w:cs="Times New Roman" w:eastAsia="Times New Roman" w:hAnsi="Times New Roman"/>
          <w:sz w:val="18"/>
          <w:szCs w:val="18"/>
          <w:color w:val="auto"/>
        </w:rPr>
        <w:t>” is a description of transactions that have occurred during the past fiscal year, or any currently proposed transactions, to which we were or are a participant and in which:</w:t>
      </w:r>
    </w:p>
    <w:p>
      <w:pPr>
        <w:spacing w:after="0" w:line="160" w:lineRule="exact"/>
        <w:rPr>
          <w:sz w:val="20"/>
          <w:szCs w:val="20"/>
          <w:color w:val="auto"/>
        </w:rPr>
      </w:pPr>
    </w:p>
    <w:p>
      <w:pPr>
        <w:ind w:left="980" w:right="2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one percent (1%) of the average of our total assets at year end for the last two completed fiscal years; and</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related person (including any director, director nominee, executive officer, holder of more than 5% of our common stock or any member of their immediate family) had or will have a direct or indirect material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are referred to as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Regarding Approval of Related Party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provided in our Corporate Governance Guidelines, the Audit Committee will review, approve or ratify reportable related party transactions by use of the following procedures:</w:t>
      </w:r>
    </w:p>
    <w:p>
      <w:pPr>
        <w:spacing w:after="0" w:line="162" w:lineRule="exact"/>
        <w:rPr>
          <w:sz w:val="20"/>
          <w:szCs w:val="20"/>
          <w:color w:val="auto"/>
        </w:rPr>
      </w:pPr>
    </w:p>
    <w:p>
      <w:pPr>
        <w:ind w:left="980" w:right="10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Chief Financial Officer, with the assistance of NTIC’s legal counsel, will evaluate the disclosures provided in the director and officer questionnaires and from data obtained from NTIC’s records for potential related person transactions.</w:t>
      </w:r>
    </w:p>
    <w:p>
      <w:pPr>
        <w:spacing w:after="0" w:line="161"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will periodically, but no less than annually, report to the Audit Committee on all related person transactions that occurred since the beginning of the prior fiscal year or that it believes will occur in the next year. Such report should include information as to (i) the related person’s relationship to NTIC and interest in the transaction; (ii) the material facts of the transaction; (iii) the benefits to NTIC of the transaction; and (iv) an assessment of whether the transaction is (to the extent applicable) in the ordinary course of business, at arm’s length, at prices and on terms customarily available to unrelated third party vendors or customers generally, and whether the related party had any direct or indirect personal interest in, or received any personal benefit from, such transaction.</w:t>
      </w:r>
    </w:p>
    <w:p>
      <w:pPr>
        <w:spacing w:after="0" w:line="187"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the factors listed above, and such other factors and information as the Audit Committee may deem appropriate, the Audit Committee will determine whether or not to approve or ratify (as the case may be) each related party transaction so identified.</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between NTIC and an unaffiliated corporation of which a non-employee director of NTIC serves as an officer that meet the below criteria are deemed conclusively pre-approved:</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at arm’s length;</w:t>
      </w:r>
    </w:p>
    <w:p>
      <w:pPr>
        <w:spacing w:after="0" w:line="225"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and on terms customarily available to unrelated third party vendors or customers generally;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the non-employee director had no direct or indirect personal interest, nor received any personal benefit;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amounts that are not material to NTIC’s business or the business of such unaffiliated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Description of Related Party Transactions</w:t>
      </w:r>
    </w:p>
    <w:p>
      <w:pPr>
        <w:spacing w:after="0" w:line="22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information regarding a consulting agreement we have with one of our current directors and the other compensation arrangements with our directors and executive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 is the President and Chief Executive Officer of NTIC. Inter Alia Holding Company owns 12.7% of the total voting power of NTIC.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a Schedule 13D/A filed with the SEC on September 4, 2024, Inter Alia Holding Company is an entity of which Mr. Lynch is a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Lynch shares voting and dispositive power over such shares with three other members of his family.</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agreements with all of our directors and executive officers under which we are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one of our directors or executive officers. We will be obligated to pay these amounts only if the director or executive officer acted in good faith and in a manner that he or she reasonably believed to be in or not opposed to our best interests. With respect to any criminal proceeding, we will be obligated to pay these amounts only if the director or executive officer had no reasonable cause to believe his or her conduct was unlawful. The indemnification agreements also set forth procedures that will apply in the event of a claim for indemnification.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NTIC has not identified any arrangements or agreements relating to compensation provided by a third party to NTIC’s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2027 ANNUAL MEETING OF STOCKHOLDERS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Stockholders who, in accordance with Rule 14a-8 under the Exchange Act, wish to present proposals for inclusion in the proxy materials relating to the 2027 Annual Meeting of Stockholders must submit their proposals so that they are received by us at our principal executive offices no later than the close of business on August 3, 2026, unless the date of the meeting is delayed by more than 30 calendar days. The proposals must satisfy the requirements of the proxy rules promulgated by the SEC and as the rules of the SEC make clear, simply submitting a proposal does not guarantee that it will be included.</w:t>
      </w:r>
    </w:p>
    <w:p>
      <w:pPr>
        <w:spacing w:after="0" w:line="180"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Any other stockholder proposals to be presented at the 2027 Annual Meeting of Stockholders (other than a matter brought pursuant to SEC Rule 14a-8) and any director nominations for the 2027 Annual Meeting of Stockholders must be given in writing to our Corporate Secretary and must be delivered to or mailed to and received at our principal executive offices not less than 90 days nor more than 120 days prior to the anniversary date of the 2026 Annual Meeting of Stockholders; provided, however, that in the event that the 2027 Annual Meeting of Stockholders is not held within 30 days before or after such anniversary date, notice by the stockholder to be timely must be received not later than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such notice of the date of the annual meeting was mailed or such public disclosure was made, whichever first occurs. The proposal or director nomination must contain specific information required by our Bylaws, which may be obtained by writing to our Corporate Secretary. The Nominating and Corporate Governance Committee will evaluate director nominee candidates recommended by stockholders in the same manner as those recommended by others. In addition, if applicable, stockholders who intend to solicit proxies in support of director nominees other than NTIC’s nominees at the 2027 Annual Meeting must also comply with the additional requirements under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promulgated under the Exchange Act, as required by and in addition to our Bylaws, including providing a statement that such stockholder intends to solicit the holders of shares representing at least 67% of the voting power of NTIC’s shares entitled to vote on the election of directors in support of director nominees other than NTIC’s nominees, as required by Rule 14a-19(b) promulgated under the Exchange Act.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encourage stockholders who wish to submit a proposal or nomination to seek independent counsel. NTIC will not consider any proposal or nomination that is not timely or otherwise does not meet the Bylaw and SEC requirements. We reserve the right to reject, rule out of order, or take other appropriate action with respect to any proposal that does not comply with these and other applicable requirements.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2025 ANNUAL REPORT</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We have sent or made electronically available to each of our stockholders our annual report on Form 10-K (without exhibits) for the fiscal year ended August 31, 2025. The exhibits to our Form 10-K are available by accessing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EDGAR filing database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We will furnish any exhibit to our Form 10-K upon receipt from any such person of a written request for such exhibits upon the payment of our reasonable expenses in furnishing the exhibits. This request should be sent to: Northern Technologies International Corporation, 4201 Woodland Road, Circle Pines, Minnesota 55014, Attention: Stockholder Information.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8" w:name="page79"/>
    <w:bookmarkEnd w:id="78"/>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in person, vote your shares of NTIC common stock by the Internet or telephone, or request a paper proxy card to sign, date and return by mail so that your shares may be voted.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14500" cy="702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Richard J. Nigon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796" w:right="919"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049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049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243205</wp:posOffset>
            </wp:positionV>
            <wp:extent cx="6035040" cy="78092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035040" cy="78092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
    <w:nsid w:val="440BAD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lvl w:ilvl="1">
      <w:lvlJc w:val="left"/>
      <w:lvlText w:val="(%2)"/>
      <w:numFmt w:val="decimal"/>
      <w:start w:val="2"/>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3"/>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4"/>
    </w:lvl>
  </w:abstractNum>
  <w:abstractNum w:abstractNumId="39">
    <w:nsid w:val="3DC240FB"/>
    <w:multiLevelType w:val="hybridMultilevel"/>
    <w:lvl w:ilvl="0">
      <w:lvlJc w:val="left"/>
      <w:lvlText w:val="(%1)"/>
      <w:numFmt w:val="decimal"/>
      <w:start w:val="5"/>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decimal"/>
      <w:start w:val="4"/>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decimal"/>
      <w:start w:val="7"/>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2025-12-01T07:10:56Z</dcterms:created>
  <dcterms:modified xsi:type="dcterms:W3CDTF">2025-12-01T07:10:56Z</dcterms:modified>
</cp:coreProperties>
</file>