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72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254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200025</wp:posOffset>
            </wp:positionV>
            <wp:extent cx="724725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25400"/>
                    </a:xfrm>
                    <a:prstGeom prst="rect">
                      <a:avLst/>
                    </a:prstGeom>
                    <a:noFill/>
                  </pic:spPr>
                </pic:pic>
              </a:graphicData>
            </a:graphic>
          </wp:anchor>
        </w:drawing>
        <w:t>UNITED STATES</w:t>
      </w:r>
    </w:p>
    <w:p>
      <w:pPr>
        <w:spacing w:after="0" w:line="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209550</wp:posOffset>
            </wp:positionV>
            <wp:extent cx="18288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8800"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10-QSB</w:t>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5" w:lineRule="exact"/>
        <w:rPr>
          <w:sz w:val="24"/>
          <w:szCs w:val="24"/>
          <w:color w:val="auto"/>
        </w:rPr>
      </w:pPr>
    </w:p>
    <w:p>
      <w:pPr>
        <w:ind w:left="380" w:hanging="372"/>
        <w:spacing w:after="0"/>
        <w:tabs>
          <w:tab w:leader="none" w:pos="38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QUARTERLY REPORT UNDER SECTION 13 OR 15(d) OF THE SECURITIES EXCHANGE ACT OF 1934</w:t>
      </w:r>
    </w:p>
    <w:p>
      <w:pPr>
        <w:spacing w:after="0" w:line="2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w:t>
      </w: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February 29, 2008</w:t>
      </w:r>
    </w:p>
    <w:p>
      <w:pPr>
        <w:spacing w:after="0" w:line="215" w:lineRule="exact"/>
        <w:rPr>
          <w:sz w:val="24"/>
          <w:szCs w:val="24"/>
          <w:color w:val="auto"/>
        </w:rPr>
      </w:pPr>
    </w:p>
    <w:p>
      <w:pPr>
        <w:ind w:left="420" w:hanging="412"/>
        <w:spacing w:after="0"/>
        <w:tabs>
          <w:tab w:leader="none" w:pos="4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UNDER SECTION 13 OR 15(d) OF THE SECURITIES EXCHANGE ACT OF 1934</w:t>
      </w:r>
    </w:p>
    <w:p>
      <w:pPr>
        <w:spacing w:after="0" w:line="214" w:lineRule="exact"/>
        <w:rPr>
          <w:sz w:val="24"/>
          <w:szCs w:val="24"/>
          <w:color w:val="auto"/>
        </w:rPr>
      </w:pPr>
    </w:p>
    <w:p>
      <w:pPr>
        <w:ind w:left="2860"/>
        <w:spacing w:after="0"/>
        <w:tabs>
          <w:tab w:leader="none" w:pos="6680" w:val="left"/>
          <w:tab w:leader="none" w:pos="85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1-11038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215900</wp:posOffset>
            </wp:positionV>
            <wp:extent cx="18288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8800"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NORTHERN TECHNOLOGIES INTERNATIONAL CORPORATION</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(Name of small business issuer in its charter)</w:t>
      </w:r>
    </w:p>
    <w:p>
      <w:pPr>
        <w:spacing w:after="0" w:line="200" w:lineRule="exact"/>
        <w:rPr>
          <w:sz w:val="24"/>
          <w:szCs w:val="24"/>
          <w:color w:val="auto"/>
        </w:rPr>
      </w:pPr>
    </w:p>
    <w:tbl>
      <w:tblPr>
        <w:tblLayout w:type="fixed"/>
        <w:tblInd w:w="660" w:type="dxa"/>
        <w:tblCellMar>
          <w:top w:w="0" w:type="dxa"/>
          <w:left w:w="0" w:type="dxa"/>
          <w:bottom w:w="0" w:type="dxa"/>
          <w:right w:w="0" w:type="dxa"/>
        </w:tblCellMar>
      </w:tblPr>
      <w:tr>
        <w:trPr>
          <w:trHeight w:val="219"/>
        </w:trPr>
        <w:tc>
          <w:tcPr>
            <w:tcW w:w="548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41-0857886</w:t>
            </w:r>
          </w:p>
        </w:tc>
      </w:tr>
      <w:tr>
        <w:trPr>
          <w:trHeight w:val="234"/>
        </w:trPr>
        <w:tc>
          <w:tcPr>
            <w:tcW w:w="54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8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08"/>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8"/>
              </w:rPr>
              <w:t>4201 Woodland Rd</w:t>
            </w:r>
          </w:p>
        </w:tc>
        <w:tc>
          <w:tcPr>
            <w:tcW w:w="3800" w:type="dxa"/>
            <w:vAlign w:val="bottom"/>
          </w:tcPr>
          <w:p>
            <w:pPr>
              <w:spacing w:after="0"/>
              <w:rPr>
                <w:sz w:val="24"/>
                <w:szCs w:val="24"/>
                <w:color w:val="auto"/>
              </w:rPr>
            </w:pPr>
          </w:p>
        </w:tc>
      </w:tr>
      <w:tr>
        <w:trPr>
          <w:trHeight w:val="219"/>
        </w:trPr>
        <w:tc>
          <w:tcPr>
            <w:tcW w:w="548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Circle Pines, Minnesota</w:t>
            </w:r>
          </w:p>
        </w:tc>
        <w:tc>
          <w:tcPr>
            <w:tcW w:w="38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55014</w:t>
            </w:r>
          </w:p>
        </w:tc>
      </w:tr>
      <w:tr>
        <w:trPr>
          <w:trHeight w:val="234"/>
        </w:trPr>
        <w:tc>
          <w:tcPr>
            <w:tcW w:w="54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8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(Issuer’s telephone number, including area code)</w:t>
      </w:r>
    </w:p>
    <w:p>
      <w:pPr>
        <w:spacing w:after="0" w:line="205" w:lineRule="exact"/>
        <w:rPr>
          <w:sz w:val="24"/>
          <w:szCs w:val="24"/>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Check whether the issuer (1) filed all reports required to be filed by Section 13 or 15(d) of the Securities Exchange Act of 1934 during the past 12 months (or for such shorter period that the issuer was required to file such reports) and (2) has been subject to such filing requirements for the past 90 days.</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x  No o</w:t>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o No x</w:t>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State the number of shares outstanding of each of the issuer’s classes of common equity, as of the latest practicable date.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7760" w:type="dxa"/>
            <w:vAlign w:val="bottom"/>
            <w:gridSpan w:val="3"/>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3660" w:type="dxa"/>
            <w:vAlign w:val="bottom"/>
          </w:tcPr>
          <w:p>
            <w:pPr>
              <w:jc w:val="center"/>
              <w:ind w:right="1156"/>
              <w:spacing w:after="0"/>
              <w:rPr>
                <w:sz w:val="20"/>
                <w:szCs w:val="20"/>
                <w:color w:val="auto"/>
              </w:rPr>
            </w:pPr>
            <w:r>
              <w:rPr>
                <w:rFonts w:ascii="Times New Roman" w:cs="Times New Roman" w:eastAsia="Times New Roman" w:hAnsi="Times New Roman"/>
                <w:sz w:val="14"/>
                <w:szCs w:val="14"/>
                <w:b w:val="1"/>
                <w:bCs w:val="1"/>
                <w:color w:val="auto"/>
              </w:rPr>
              <w:t>Outstanding as of April 11, 2008</w:t>
            </w:r>
          </w:p>
        </w:tc>
        <w:tc>
          <w:tcPr>
            <w:tcW w:w="40" w:type="dxa"/>
            <w:vAlign w:val="bottom"/>
          </w:tcPr>
          <w:p>
            <w:pPr>
              <w:spacing w:after="0"/>
              <w:rPr>
                <w:sz w:val="15"/>
                <w:szCs w:val="15"/>
                <w:color w:val="auto"/>
              </w:rPr>
            </w:pPr>
          </w:p>
        </w:tc>
      </w:tr>
      <w:tr>
        <w:trPr>
          <w:trHeight w:val="227"/>
        </w:trPr>
        <w:tc>
          <w:tcPr>
            <w:tcW w:w="5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$0.02 par value</w:t>
            </w:r>
          </w:p>
        </w:tc>
        <w:tc>
          <w:tcPr>
            <w:tcW w:w="74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3660" w:type="dxa"/>
            <w:vAlign w:val="bottom"/>
            <w:tcBorders>
              <w:top w:val="single" w:sz="8" w:color="auto"/>
            </w:tcBorders>
          </w:tcPr>
          <w:p>
            <w:pPr>
              <w:jc w:val="right"/>
              <w:ind w:right="2016"/>
              <w:spacing w:after="0"/>
              <w:rPr>
                <w:sz w:val="20"/>
                <w:szCs w:val="20"/>
                <w:color w:val="auto"/>
              </w:rPr>
            </w:pPr>
            <w:r>
              <w:rPr>
                <w:rFonts w:ascii="Times New Roman" w:cs="Times New Roman" w:eastAsia="Times New Roman" w:hAnsi="Times New Roman"/>
                <w:sz w:val="18"/>
                <w:szCs w:val="18"/>
                <w:color w:val="auto"/>
              </w:rPr>
              <w:t>3,723,166</w:t>
            </w:r>
          </w:p>
        </w:tc>
        <w:tc>
          <w:tcPr>
            <w:tcW w:w="40" w:type="dxa"/>
            <w:vAlign w:val="bottom"/>
          </w:tcPr>
          <w:p>
            <w:pPr>
              <w:spacing w:after="0"/>
              <w:rPr>
                <w:sz w:val="19"/>
                <w:szCs w:val="19"/>
                <w:color w:val="auto"/>
              </w:rPr>
            </w:pPr>
          </w:p>
        </w:tc>
      </w:tr>
      <w:tr>
        <w:trPr>
          <w:trHeight w:val="412"/>
        </w:trPr>
        <w:tc>
          <w:tcPr>
            <w:tcW w:w="776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Transitional Small Business Disclosure Format (check one): Yes</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 No x</w:t>
            </w:r>
          </w:p>
        </w:tc>
        <w:tc>
          <w:tcPr>
            <w:tcW w:w="40" w:type="dxa"/>
            <w:vAlign w:val="bottom"/>
          </w:tcPr>
          <w:p>
            <w:pPr>
              <w:spacing w:after="0"/>
              <w:rPr>
                <w:sz w:val="24"/>
                <w:szCs w:val="24"/>
                <w:color w:val="auto"/>
              </w:rPr>
            </w:pPr>
          </w:p>
        </w:tc>
      </w:tr>
      <w:tr>
        <w:trPr>
          <w:trHeight w:val="236"/>
        </w:trPr>
        <w:tc>
          <w:tcPr>
            <w:tcW w:w="5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47"/>
        </w:trPr>
        <w:tc>
          <w:tcPr>
            <w:tcW w:w="57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118"/>
        </w:trPr>
        <w:tc>
          <w:tcPr>
            <w:tcW w:w="5760" w:type="dxa"/>
            <w:vAlign w:val="bottom"/>
            <w:tcBorders>
              <w:bottom w:val="single" w:sz="8" w:color="010101"/>
            </w:tcBorders>
          </w:tcPr>
          <w:p>
            <w:pPr>
              <w:spacing w:after="0"/>
              <w:rPr>
                <w:sz w:val="10"/>
                <w:szCs w:val="10"/>
                <w:color w:val="auto"/>
              </w:rPr>
            </w:pPr>
          </w:p>
        </w:tc>
        <w:tc>
          <w:tcPr>
            <w:tcW w:w="740" w:type="dxa"/>
            <w:vAlign w:val="bottom"/>
            <w:tcBorders>
              <w:bottom w:val="single" w:sz="8" w:color="010101"/>
            </w:tcBorders>
          </w:tcPr>
          <w:p>
            <w:pPr>
              <w:spacing w:after="0"/>
              <w:rPr>
                <w:sz w:val="10"/>
                <w:szCs w:val="10"/>
                <w:color w:val="auto"/>
              </w:rPr>
            </w:pPr>
          </w:p>
        </w:tc>
        <w:tc>
          <w:tcPr>
            <w:tcW w:w="1260" w:type="dxa"/>
            <w:vAlign w:val="bottom"/>
            <w:tcBorders>
              <w:bottom w:val="single" w:sz="8" w:color="010101"/>
            </w:tcBorders>
          </w:tcPr>
          <w:p>
            <w:pPr>
              <w:spacing w:after="0"/>
              <w:rPr>
                <w:sz w:val="10"/>
                <w:szCs w:val="10"/>
                <w:color w:val="auto"/>
              </w:rPr>
            </w:pPr>
          </w:p>
        </w:tc>
        <w:tc>
          <w:tcPr>
            <w:tcW w:w="366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10-QSB</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February 29, 2008</w:t>
      </w:r>
    </w:p>
    <w:p>
      <w:pPr>
        <w:spacing w:after="0" w:line="20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5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4"/>
        </w:trPr>
        <w:tc>
          <w:tcPr>
            <w:tcW w:w="20" w:type="dxa"/>
            <w:vAlign w:val="bottom"/>
          </w:tcPr>
          <w:p>
            <w:pPr>
              <w:spacing w:after="0"/>
              <w:rPr>
                <w:sz w:val="24"/>
                <w:szCs w:val="24"/>
                <w:color w:val="auto"/>
              </w:rPr>
            </w:pPr>
          </w:p>
        </w:tc>
        <w:tc>
          <w:tcPr>
            <w:tcW w:w="108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PART I.</w:t>
              </w:r>
            </w:hyperlink>
          </w:p>
        </w:tc>
        <w:tc>
          <w:tcPr>
            <w:tcW w:w="9380" w:type="dxa"/>
            <w:vAlign w:val="bottom"/>
            <w:gridSpan w:val="4"/>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FINANCIAL INFORMATION</w:t>
              </w:r>
            </w:hyperlink>
          </w:p>
        </w:tc>
        <w:tc>
          <w:tcPr>
            <w:tcW w:w="940" w:type="dxa"/>
            <w:vAlign w:val="bottom"/>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620" w:type="dxa"/>
            <w:vAlign w:val="bottom"/>
            <w:tcBorders>
              <w:top w:val="single" w:sz="8" w:color="0000EE"/>
            </w:tcBorders>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Item 1.</w:t>
              </w:r>
            </w:hyperlink>
          </w:p>
        </w:tc>
        <w:tc>
          <w:tcPr>
            <w:tcW w:w="460" w:type="dxa"/>
            <w:vAlign w:val="bottom"/>
          </w:tcPr>
          <w:p>
            <w:pPr>
              <w:spacing w:after="0"/>
              <w:rPr>
                <w:sz w:val="24"/>
                <w:szCs w:val="24"/>
                <w:color w:val="auto"/>
              </w:rPr>
            </w:pPr>
          </w:p>
        </w:tc>
        <w:tc>
          <w:tcPr>
            <w:tcW w:w="2380" w:type="dxa"/>
            <w:vAlign w:val="bottom"/>
            <w:tcBorders>
              <w:top w:val="single" w:sz="8" w:color="0000EE"/>
            </w:tcBorders>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Financial Statements</w:t>
              </w:r>
            </w:hyperlink>
          </w:p>
        </w:tc>
        <w:tc>
          <w:tcPr>
            <w:tcW w:w="700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Consolidated Balance Sheets as of February 29, 2008 (unaudited) and August 31, 2007 (audited)</w:t>
              </w:r>
            </w:hyperlink>
          </w:p>
        </w:tc>
        <w:tc>
          <w:tcPr>
            <w:tcW w:w="2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3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Consolidated Statements of Operations (unaudited) for the Three and Six Months Ended February 29, 2008 and February 28, 2007</w:t>
              </w:r>
            </w:hyperlink>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460"/>
          </w:cols>
          <w:pgMar w:left="240" w:top="523" w:right="199" w:bottom="0" w:gutter="0" w:footer="0" w:header="0"/>
        </w:sectPr>
      </w:pPr>
    </w:p>
    <w:bookmarkStart w:id="1" w:name="page2"/>
    <w:bookmarkEnd w:id="1"/>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80" w:type="dxa"/>
            <w:vAlign w:val="bottom"/>
            <w:gridSpan w:val="14"/>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Statements of Cash Flows (unaudited) for the Six Months Ended February 29, 2008 and February 28, 2007</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1"/>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Notes to Consolidated Financial Statements</w:t>
              </w:r>
            </w:hyperlink>
          </w:p>
        </w:tc>
        <w:tc>
          <w:tcPr>
            <w:tcW w:w="5520" w:type="dxa"/>
            <w:vAlign w:val="bottom"/>
            <w:tcBorders>
              <w:top w:val="single" w:sz="8" w:color="0000EE"/>
            </w:tcBorders>
            <w:gridSpan w:val="6"/>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411"/>
        </w:trPr>
        <w:tc>
          <w:tcPr>
            <w:tcW w:w="5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Item 2.</w:t>
              </w:r>
            </w:hyperlink>
          </w:p>
        </w:tc>
        <w:tc>
          <w:tcPr>
            <w:tcW w:w="560" w:type="dxa"/>
            <w:vAlign w:val="bottom"/>
            <w:gridSpan w:val="2"/>
          </w:tcPr>
          <w:p>
            <w:pPr>
              <w:spacing w:after="0"/>
              <w:rPr>
                <w:sz w:val="24"/>
                <w:szCs w:val="24"/>
                <w:color w:val="auto"/>
              </w:rPr>
            </w:pPr>
          </w:p>
        </w:tc>
        <w:tc>
          <w:tcPr>
            <w:tcW w:w="43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w:anchor="page8">
              <w:r>
                <w:rPr>
                  <w:rFonts w:ascii="Times New Roman" w:cs="Times New Roman" w:eastAsia="Times New Roman" w:hAnsi="Times New Roman"/>
                  <w:sz w:val="18"/>
                  <w:szCs w:val="18"/>
                  <w:color w:val="0000EE"/>
                  <w:w w:val="98"/>
                </w:rPr>
                <w:t>Management’s Discussion and Analysis or Plan of Operation</w:t>
              </w:r>
            </w:hyperlink>
          </w:p>
        </w:tc>
        <w:tc>
          <w:tcPr>
            <w:tcW w:w="4900" w:type="dxa"/>
            <w:vAlign w:val="bottom"/>
            <w:gridSpan w:val="4"/>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411"/>
        </w:trPr>
        <w:tc>
          <w:tcPr>
            <w:tcW w:w="1080" w:type="dxa"/>
            <w:vAlign w:val="bottom"/>
            <w:gridSpan w:val="4"/>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Item 3.</w:t>
              </w:r>
            </w:hyperlink>
          </w:p>
        </w:tc>
        <w:tc>
          <w:tcPr>
            <w:tcW w:w="9280" w:type="dxa"/>
            <w:vAlign w:val="bottom"/>
            <w:gridSpan w:val="14"/>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Controls and Procedures</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1"/>
        </w:trPr>
        <w:tc>
          <w:tcPr>
            <w:tcW w:w="70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4"/>
              </w:rPr>
            </w:pPr>
            <w:hyperlink w:anchor="page19">
              <w:r>
                <w:rPr>
                  <w:rFonts w:ascii="Times New Roman" w:cs="Times New Roman" w:eastAsia="Times New Roman" w:hAnsi="Times New Roman"/>
                  <w:sz w:val="18"/>
                  <w:szCs w:val="18"/>
                  <w:b w:val="1"/>
                  <w:bCs w:val="1"/>
                  <w:color w:val="0000EE"/>
                  <w:w w:val="94"/>
                </w:rPr>
                <w:t>PART II.</w:t>
              </w:r>
            </w:hyperlink>
          </w:p>
        </w:tc>
        <w:tc>
          <w:tcPr>
            <w:tcW w:w="380" w:type="dxa"/>
            <w:vAlign w:val="bottom"/>
          </w:tcPr>
          <w:p>
            <w:pPr>
              <w:spacing w:after="0"/>
              <w:rPr>
                <w:sz w:val="24"/>
                <w:szCs w:val="24"/>
                <w:color w:val="auto"/>
              </w:rPr>
            </w:pPr>
          </w:p>
        </w:tc>
        <w:tc>
          <w:tcPr>
            <w:tcW w:w="2020" w:type="dxa"/>
            <w:vAlign w:val="bottom"/>
            <w:tcBorders>
              <w:bottom w:val="single" w:sz="8" w:color="0000EE"/>
            </w:tcBorders>
            <w:gridSpan w:val="6"/>
          </w:tcPr>
          <w:p>
            <w:pPr>
              <w:spacing w:after="0"/>
              <w:rPr>
                <w:rFonts w:ascii="Times New Roman" w:cs="Times New Roman" w:eastAsia="Times New Roman" w:hAnsi="Times New Roman"/>
                <w:sz w:val="18"/>
                <w:szCs w:val="18"/>
                <w:b w:val="1"/>
                <w:bCs w:val="1"/>
                <w:color w:val="0000EE"/>
                <w:w w:val="98"/>
              </w:rPr>
            </w:pPr>
            <w:hyperlink w:anchor="page19">
              <w:r>
                <w:rPr>
                  <w:rFonts w:ascii="Times New Roman" w:cs="Times New Roman" w:eastAsia="Times New Roman" w:hAnsi="Times New Roman"/>
                  <w:sz w:val="18"/>
                  <w:szCs w:val="18"/>
                  <w:b w:val="1"/>
                  <w:bCs w:val="1"/>
                  <w:color w:val="0000EE"/>
                  <w:w w:val="98"/>
                </w:rPr>
                <w:t>OTHER INFORMATION</w:t>
              </w:r>
            </w:hyperlink>
          </w:p>
        </w:tc>
        <w:tc>
          <w:tcPr>
            <w:tcW w:w="7260" w:type="dxa"/>
            <w:vAlign w:val="bottom"/>
            <w:gridSpan w:val="8"/>
          </w:tcPr>
          <w:p>
            <w:pPr>
              <w:spacing w:after="0"/>
              <w:rPr>
                <w:sz w:val="24"/>
                <w:szCs w:val="24"/>
                <w:color w:val="auto"/>
              </w:rPr>
            </w:pPr>
          </w:p>
        </w:tc>
        <w:tc>
          <w:tcPr>
            <w:tcW w:w="1020" w:type="dxa"/>
            <w:vAlign w:val="bottom"/>
          </w:tcPr>
          <w:p>
            <w:pPr>
              <w:spacing w:after="0"/>
              <w:rPr>
                <w:sz w:val="24"/>
                <w:szCs w:val="24"/>
                <w:color w:val="auto"/>
              </w:rPr>
            </w:pPr>
          </w:p>
        </w:tc>
      </w:tr>
      <w:tr>
        <w:trPr>
          <w:trHeight w:val="411"/>
        </w:trPr>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Item 1.</w:t>
              </w:r>
            </w:hyperlink>
          </w:p>
        </w:tc>
        <w:tc>
          <w:tcPr>
            <w:tcW w:w="560" w:type="dxa"/>
            <w:vAlign w:val="bottom"/>
            <w:gridSpan w:val="2"/>
          </w:tcPr>
          <w:p>
            <w:pPr>
              <w:spacing w:after="0"/>
              <w:rPr>
                <w:sz w:val="24"/>
                <w:szCs w:val="24"/>
                <w:color w:val="auto"/>
              </w:rPr>
            </w:pPr>
          </w:p>
        </w:tc>
        <w:tc>
          <w:tcPr>
            <w:tcW w:w="9280" w:type="dxa"/>
            <w:vAlign w:val="bottom"/>
            <w:gridSpan w:val="14"/>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Legal Proceedings</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1"/>
        </w:trPr>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Item 2.</w:t>
              </w:r>
            </w:hyperlink>
          </w:p>
        </w:tc>
        <w:tc>
          <w:tcPr>
            <w:tcW w:w="560" w:type="dxa"/>
            <w:vAlign w:val="bottom"/>
            <w:gridSpan w:val="2"/>
          </w:tcPr>
          <w:p>
            <w:pPr>
              <w:spacing w:after="0"/>
              <w:rPr>
                <w:sz w:val="24"/>
                <w:szCs w:val="24"/>
                <w:color w:val="auto"/>
              </w:rPr>
            </w:pPr>
          </w:p>
        </w:tc>
        <w:tc>
          <w:tcPr>
            <w:tcW w:w="9280" w:type="dxa"/>
            <w:vAlign w:val="bottom"/>
            <w:gridSpan w:val="14"/>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Unregistered Sales of Equity Securities, Use of Proceeds and Small Business Issuer Purchases of Equity Securities</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1"/>
        </w:trPr>
        <w:tc>
          <w:tcPr>
            <w:tcW w:w="520" w:type="dxa"/>
            <w:vAlign w:val="bottom"/>
            <w:tcBorders>
              <w:top w:val="single" w:sz="8" w:color="0000EE"/>
            </w:tcBorders>
            <w:gridSpan w:val="2"/>
          </w:tcPr>
          <w:p>
            <w:pPr>
              <w:spacing w:after="0"/>
              <w:rPr>
                <w:rFonts w:ascii="Times New Roman" w:cs="Times New Roman" w:eastAsia="Times New Roman" w:hAnsi="Times New Roman"/>
                <w:sz w:val="18"/>
                <w:szCs w:val="18"/>
                <w:color w:val="0000EE"/>
                <w:w w:val="97"/>
              </w:rPr>
            </w:pPr>
            <w:hyperlink w:anchor="page20">
              <w:r>
                <w:rPr>
                  <w:rFonts w:ascii="Times New Roman" w:cs="Times New Roman" w:eastAsia="Times New Roman" w:hAnsi="Times New Roman"/>
                  <w:sz w:val="18"/>
                  <w:szCs w:val="18"/>
                  <w:color w:val="0000EE"/>
                  <w:w w:val="97"/>
                </w:rPr>
                <w:t>Item 4.</w:t>
              </w:r>
            </w:hyperlink>
          </w:p>
        </w:tc>
        <w:tc>
          <w:tcPr>
            <w:tcW w:w="560" w:type="dxa"/>
            <w:vAlign w:val="bottom"/>
            <w:gridSpan w:val="2"/>
          </w:tcPr>
          <w:p>
            <w:pPr>
              <w:spacing w:after="0"/>
              <w:rPr>
                <w:sz w:val="24"/>
                <w:szCs w:val="24"/>
                <w:color w:val="auto"/>
              </w:rPr>
            </w:pPr>
          </w:p>
        </w:tc>
        <w:tc>
          <w:tcPr>
            <w:tcW w:w="822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Submission of Matters to a Vote of Security Holders</w:t>
              </w:r>
            </w:hyperlink>
          </w:p>
        </w:tc>
        <w:tc>
          <w:tcPr>
            <w:tcW w:w="1060" w:type="dxa"/>
            <w:vAlign w:val="bottom"/>
            <w:gridSpan w:val="2"/>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1"/>
        </w:trPr>
        <w:tc>
          <w:tcPr>
            <w:tcW w:w="520" w:type="dxa"/>
            <w:vAlign w:val="bottom"/>
            <w:tcBorders>
              <w:top w:val="single" w:sz="8" w:color="0000EE"/>
            </w:tcBorders>
            <w:gridSpan w:val="2"/>
          </w:tcPr>
          <w:p>
            <w:pPr>
              <w:spacing w:after="0"/>
              <w:rPr>
                <w:rFonts w:ascii="Times New Roman" w:cs="Times New Roman" w:eastAsia="Times New Roman" w:hAnsi="Times New Roman"/>
                <w:sz w:val="18"/>
                <w:szCs w:val="18"/>
                <w:color w:val="0000EE"/>
                <w:w w:val="97"/>
              </w:rPr>
            </w:pPr>
            <w:hyperlink w:anchor="page20">
              <w:r>
                <w:rPr>
                  <w:rFonts w:ascii="Times New Roman" w:cs="Times New Roman" w:eastAsia="Times New Roman" w:hAnsi="Times New Roman"/>
                  <w:sz w:val="18"/>
                  <w:szCs w:val="18"/>
                  <w:color w:val="0000EE"/>
                  <w:w w:val="97"/>
                </w:rPr>
                <w:t>Item 5.</w:t>
              </w:r>
            </w:hyperlink>
          </w:p>
        </w:tc>
        <w:tc>
          <w:tcPr>
            <w:tcW w:w="560" w:type="dxa"/>
            <w:vAlign w:val="bottom"/>
            <w:gridSpan w:val="2"/>
          </w:tcPr>
          <w:p>
            <w:pPr>
              <w:spacing w:after="0"/>
              <w:rPr>
                <w:sz w:val="24"/>
                <w:szCs w:val="24"/>
                <w:color w:val="auto"/>
              </w:rPr>
            </w:pPr>
          </w:p>
        </w:tc>
        <w:tc>
          <w:tcPr>
            <w:tcW w:w="374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Other Information</w:t>
              </w:r>
            </w:hyperlink>
          </w:p>
        </w:tc>
        <w:tc>
          <w:tcPr>
            <w:tcW w:w="5540" w:type="dxa"/>
            <w:vAlign w:val="bottom"/>
            <w:gridSpan w:val="5"/>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1"/>
        </w:trPr>
        <w:tc>
          <w:tcPr>
            <w:tcW w:w="5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20">
              <w:r>
                <w:rPr>
                  <w:rFonts w:ascii="Times New Roman" w:cs="Times New Roman" w:eastAsia="Times New Roman" w:hAnsi="Times New Roman"/>
                  <w:sz w:val="18"/>
                  <w:szCs w:val="18"/>
                  <w:color w:val="0000EE"/>
                  <w:w w:val="97"/>
                </w:rPr>
                <w:t>Item 6.</w:t>
              </w:r>
            </w:hyperlink>
          </w:p>
        </w:tc>
        <w:tc>
          <w:tcPr>
            <w:tcW w:w="56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20">
              <w:r>
                <w:rPr>
                  <w:rFonts w:ascii="Times New Roman" w:cs="Times New Roman" w:eastAsia="Times New Roman" w:hAnsi="Times New Roman"/>
                  <w:sz w:val="18"/>
                  <w:szCs w:val="18"/>
                  <w:color w:val="0000EE"/>
                  <w:w w:val="96"/>
                </w:rPr>
                <w:t>Exhibits</w:t>
              </w:r>
            </w:hyperlink>
          </w:p>
        </w:tc>
        <w:tc>
          <w:tcPr>
            <w:tcW w:w="720" w:type="dxa"/>
            <w:vAlign w:val="bottom"/>
            <w:tcBorders>
              <w:top w:val="single" w:sz="8" w:color="0000EE"/>
            </w:tcBorders>
          </w:tcPr>
          <w:p>
            <w:pPr>
              <w:spacing w:after="0"/>
              <w:rPr>
                <w:sz w:val="24"/>
                <w:szCs w:val="24"/>
                <w:color w:val="auto"/>
              </w:rPr>
            </w:pPr>
          </w:p>
        </w:tc>
        <w:tc>
          <w:tcPr>
            <w:tcW w:w="7960" w:type="dxa"/>
            <w:vAlign w:val="bottom"/>
            <w:gridSpan w:val="10"/>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1"/>
        </w:trPr>
        <w:tc>
          <w:tcPr>
            <w:tcW w:w="10360" w:type="dxa"/>
            <w:vAlign w:val="bottom"/>
            <w:gridSpan w:val="18"/>
          </w:tcPr>
          <w:p>
            <w:pPr>
              <w:spacing w:after="0"/>
              <w:rPr>
                <w:rFonts w:ascii="Times New Roman" w:cs="Times New Roman" w:eastAsia="Times New Roman" w:hAnsi="Times New Roman"/>
                <w:sz w:val="18"/>
                <w:szCs w:val="18"/>
                <w:b w:val="1"/>
                <w:bCs w:val="1"/>
                <w:color w:val="0000EE"/>
              </w:rPr>
            </w:pPr>
            <w:hyperlink w:anchor="page20">
              <w:r>
                <w:rPr>
                  <w:rFonts w:ascii="Times New Roman" w:cs="Times New Roman" w:eastAsia="Times New Roman" w:hAnsi="Times New Roman"/>
                  <w:sz w:val="18"/>
                  <w:szCs w:val="18"/>
                  <w:b w:val="1"/>
                  <w:bCs w:val="1"/>
                  <w:color w:val="0000EE"/>
                </w:rPr>
                <w:t>SIGNATURE PAGE</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1"/>
        </w:trPr>
        <w:tc>
          <w:tcPr>
            <w:tcW w:w="1580" w:type="dxa"/>
            <w:vAlign w:val="bottom"/>
            <w:tcBorders>
              <w:top w:val="single" w:sz="8" w:color="0000EE"/>
            </w:tcBorders>
            <w:gridSpan w:val="6"/>
          </w:tcPr>
          <w:p>
            <w:pPr>
              <w:spacing w:after="0"/>
              <w:rPr>
                <w:rFonts w:ascii="Times New Roman" w:cs="Times New Roman" w:eastAsia="Times New Roman" w:hAnsi="Times New Roman"/>
                <w:sz w:val="18"/>
                <w:szCs w:val="18"/>
                <w:b w:val="1"/>
                <w:bCs w:val="1"/>
                <w:color w:val="0000EE"/>
              </w:rPr>
            </w:pPr>
            <w:hyperlink w:anchor="page21">
              <w:r>
                <w:rPr>
                  <w:rFonts w:ascii="Times New Roman" w:cs="Times New Roman" w:eastAsia="Times New Roman" w:hAnsi="Times New Roman"/>
                  <w:sz w:val="18"/>
                  <w:szCs w:val="18"/>
                  <w:b w:val="1"/>
                  <w:bCs w:val="1"/>
                  <w:color w:val="0000EE"/>
                </w:rPr>
                <w:t>EXHIBIT INDEX</w:t>
              </w:r>
            </w:hyperlink>
          </w:p>
        </w:tc>
        <w:tc>
          <w:tcPr>
            <w:tcW w:w="8780" w:type="dxa"/>
            <w:vAlign w:val="bottom"/>
            <w:gridSpan w:val="12"/>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43"/>
        </w:trPr>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30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i w:val="1"/>
          <w:iCs w:val="1"/>
          <w:color w:val="auto"/>
        </w:rPr>
        <w:t>This Quarterly Report on Form 10-QSB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or Plan of Operation — Forward-Looking Statements.”</w:t>
      </w:r>
    </w:p>
    <w:p>
      <w:pPr>
        <w:spacing w:after="0" w:line="17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i w:val="1"/>
          <w:iCs w:val="1"/>
          <w:color w:val="auto"/>
        </w:rPr>
        <w:t>As used in this report, references to “NTIC,” the “Company,” “we,” “our” or “us,” unless the context otherwise requires, refer to Northern Technologies International Corporation, its wholly owned subsidiaries — NTI Facilities, Inc. and Northern Technologies Holding Company, LLC, and its majority-owned subsidiary — React-NTI, LLC, all of which are consolidated on NTIC’s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or service marks referred to in this report are the property of their respective owners.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1"/>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3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08"/>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5"/>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AND SUBSIDIARIES — CONSOLIDATED BALANCE SHEETS as of</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February 29, 2008 (Unaudited) and August 31, 2007 (Audited)</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39"/>
        </w:trPr>
        <w:tc>
          <w:tcPr>
            <w:tcW w:w="7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29,</w:t>
            </w:r>
          </w:p>
        </w:tc>
        <w:tc>
          <w:tcPr>
            <w:tcW w:w="28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August 31,</w:t>
            </w:r>
          </w:p>
        </w:tc>
      </w:tr>
      <w:tr>
        <w:trPr>
          <w:trHeight w:val="173"/>
        </w:trPr>
        <w:tc>
          <w:tcPr>
            <w:tcW w:w="720" w:type="dxa"/>
            <w:vAlign w:val="bottom"/>
            <w:tcBorders>
              <w:bottom w:val="single" w:sz="8" w:color="CCEEFF"/>
            </w:tcBorders>
          </w:tcPr>
          <w:p>
            <w:pPr>
              <w:spacing w:after="0"/>
              <w:rPr>
                <w:sz w:val="15"/>
                <w:szCs w:val="15"/>
                <w:color w:val="auto"/>
              </w:rPr>
            </w:pPr>
          </w:p>
        </w:tc>
        <w:tc>
          <w:tcPr>
            <w:tcW w:w="73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2008</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2007</w:t>
            </w:r>
          </w:p>
        </w:tc>
        <w:tc>
          <w:tcPr>
            <w:tcW w:w="140" w:type="dxa"/>
            <w:vAlign w:val="bottom"/>
            <w:tcBorders>
              <w:bottom w:val="single" w:sz="8" w:color="CCEEFF"/>
            </w:tcBorders>
          </w:tcPr>
          <w:p>
            <w:pPr>
              <w:spacing w:after="0"/>
              <w:rPr>
                <w:sz w:val="15"/>
                <w:szCs w:val="15"/>
                <w:color w:val="auto"/>
              </w:rPr>
            </w:pPr>
          </w:p>
        </w:tc>
      </w:tr>
      <w:tr>
        <w:trPr>
          <w:trHeight w:val="195"/>
        </w:trPr>
        <w:tc>
          <w:tcPr>
            <w:tcW w:w="7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ASSETS</w:t>
            </w:r>
          </w:p>
        </w:tc>
        <w:tc>
          <w:tcPr>
            <w:tcW w:w="7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5"/>
        </w:trPr>
        <w:tc>
          <w:tcPr>
            <w:tcW w:w="8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8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461,161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244,499</w:t>
            </w:r>
          </w:p>
        </w:tc>
        <w:tc>
          <w:tcPr>
            <w:tcW w:w="140" w:type="dxa"/>
            <w:vAlign w:val="bottom"/>
            <w:shd w:val="clear" w:color="auto" w:fill="CCEEFF"/>
          </w:tcPr>
          <w:p>
            <w:pPr>
              <w:spacing w:after="0"/>
              <w:rPr>
                <w:sz w:val="18"/>
                <w:szCs w:val="18"/>
                <w:color w:val="auto"/>
              </w:rPr>
            </w:pPr>
          </w:p>
        </w:tc>
      </w:tr>
      <w:tr>
        <w:trPr>
          <w:trHeight w:val="215"/>
        </w:trPr>
        <w:tc>
          <w:tcPr>
            <w:tcW w:w="8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7"/>
        </w:trPr>
        <w:tc>
          <w:tcPr>
            <w:tcW w:w="8020" w:type="dxa"/>
            <w:vAlign w:val="bottom"/>
            <w:gridSpan w:val="2"/>
            <w:shd w:val="clear" w:color="auto" w:fill="CCEEFF"/>
          </w:tcPr>
          <w:p>
            <w:pPr>
              <w:ind w:left="560"/>
              <w:spacing w:after="0" w:line="197" w:lineRule="exact"/>
              <w:rPr>
                <w:sz w:val="20"/>
                <w:szCs w:val="20"/>
                <w:color w:val="auto"/>
              </w:rPr>
            </w:pPr>
            <w:r>
              <w:rPr>
                <w:rFonts w:ascii="Times New Roman" w:cs="Times New Roman" w:eastAsia="Times New Roman" w:hAnsi="Times New Roman"/>
                <w:sz w:val="18"/>
                <w:szCs w:val="18"/>
                <w:color w:val="auto"/>
              </w:rPr>
              <w:t>Trade excluding corporate joint ventures, less allowance for doubtful accounts of $20,000 and</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720" w:type="dxa"/>
            <w:vAlign w:val="bottom"/>
            <w:shd w:val="clear" w:color="auto" w:fill="CCEEFF"/>
          </w:tcPr>
          <w:p>
            <w:pPr>
              <w:spacing w:after="0"/>
              <w:rPr>
                <w:sz w:val="20"/>
                <w:szCs w:val="20"/>
                <w:color w:val="auto"/>
              </w:rPr>
            </w:pPr>
          </w:p>
        </w:tc>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$30,000 at February 29, 2008 and August 31, 2007</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1,615,376</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1,622,420</w:t>
            </w:r>
          </w:p>
        </w:tc>
        <w:tc>
          <w:tcPr>
            <w:tcW w:w="140" w:type="dxa"/>
            <w:vAlign w:val="bottom"/>
            <w:shd w:val="clear" w:color="auto" w:fill="CCEEFF"/>
          </w:tcPr>
          <w:p>
            <w:pPr>
              <w:spacing w:after="0"/>
              <w:rPr>
                <w:sz w:val="20"/>
                <w:szCs w:val="20"/>
                <w:color w:val="auto"/>
              </w:rPr>
            </w:pPr>
          </w:p>
        </w:tc>
      </w:tr>
      <w:tr>
        <w:trPr>
          <w:trHeight w:val="215"/>
        </w:trPr>
        <w:tc>
          <w:tcPr>
            <w:tcW w:w="8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Trade corporate joint ventures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499,731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642,518</w:t>
            </w:r>
          </w:p>
        </w:tc>
        <w:tc>
          <w:tcPr>
            <w:tcW w:w="140" w:type="dxa"/>
            <w:vAlign w:val="bottom"/>
          </w:tcPr>
          <w:p>
            <w:pPr>
              <w:spacing w:after="0"/>
              <w:rPr>
                <w:sz w:val="18"/>
                <w:szCs w:val="18"/>
                <w:color w:val="auto"/>
              </w:rPr>
            </w:pPr>
          </w:p>
        </w:tc>
      </w:tr>
      <w:tr>
        <w:trPr>
          <w:trHeight w:val="215"/>
        </w:trPr>
        <w:tc>
          <w:tcPr>
            <w:tcW w:w="8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Technical and other services, corporate joint ventures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2,104,250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1,514,139</w:t>
            </w:r>
          </w:p>
        </w:tc>
        <w:tc>
          <w:tcPr>
            <w:tcW w:w="140" w:type="dxa"/>
            <w:vAlign w:val="bottom"/>
            <w:shd w:val="clear" w:color="auto" w:fill="CCEEFF"/>
          </w:tcPr>
          <w:p>
            <w:pPr>
              <w:spacing w:after="0"/>
              <w:rPr>
                <w:sz w:val="18"/>
                <w:szCs w:val="18"/>
                <w:color w:val="auto"/>
              </w:rPr>
            </w:pPr>
          </w:p>
        </w:tc>
      </w:tr>
      <w:tr>
        <w:trPr>
          <w:trHeight w:val="215"/>
        </w:trPr>
        <w:tc>
          <w:tcPr>
            <w:tcW w:w="8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29,755</w:t>
            </w:r>
          </w:p>
        </w:tc>
        <w:tc>
          <w:tcPr>
            <w:tcW w:w="140" w:type="dxa"/>
            <w:vAlign w:val="bottom"/>
          </w:tcPr>
          <w:p>
            <w:pPr>
              <w:spacing w:after="0"/>
              <w:rPr>
                <w:sz w:val="18"/>
                <w:szCs w:val="18"/>
                <w:color w:val="auto"/>
              </w:rPr>
            </w:pPr>
          </w:p>
        </w:tc>
      </w:tr>
      <w:tr>
        <w:trPr>
          <w:trHeight w:val="215"/>
        </w:trPr>
        <w:tc>
          <w:tcPr>
            <w:tcW w:w="8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1,776,352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1,636,073</w:t>
            </w:r>
          </w:p>
        </w:tc>
        <w:tc>
          <w:tcPr>
            <w:tcW w:w="140" w:type="dxa"/>
            <w:vAlign w:val="bottom"/>
            <w:shd w:val="clear" w:color="auto" w:fill="CCEEFF"/>
          </w:tcPr>
          <w:p>
            <w:pPr>
              <w:spacing w:after="0"/>
              <w:rPr>
                <w:sz w:val="18"/>
                <w:szCs w:val="18"/>
                <w:color w:val="auto"/>
              </w:rPr>
            </w:pPr>
          </w:p>
        </w:tc>
      </w:tr>
      <w:tr>
        <w:trPr>
          <w:trHeight w:val="215"/>
        </w:trPr>
        <w:tc>
          <w:tcPr>
            <w:tcW w:w="8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310,568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184,407</w:t>
            </w:r>
          </w:p>
        </w:tc>
        <w:tc>
          <w:tcPr>
            <w:tcW w:w="140" w:type="dxa"/>
            <w:vAlign w:val="bottom"/>
          </w:tcPr>
          <w:p>
            <w:pPr>
              <w:spacing w:after="0"/>
              <w:rPr>
                <w:sz w:val="18"/>
                <w:szCs w:val="18"/>
                <w:color w:val="auto"/>
              </w:rPr>
            </w:pPr>
          </w:p>
        </w:tc>
      </w:tr>
      <w:tr>
        <w:trPr>
          <w:trHeight w:val="215"/>
        </w:trPr>
        <w:tc>
          <w:tcPr>
            <w:tcW w:w="8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562,000</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562,000</w:t>
            </w:r>
          </w:p>
        </w:tc>
        <w:tc>
          <w:tcPr>
            <w:tcW w:w="140" w:type="dxa"/>
            <w:vAlign w:val="bottom"/>
            <w:shd w:val="clear" w:color="auto" w:fill="CCEEFF"/>
          </w:tcPr>
          <w:p>
            <w:pPr>
              <w:spacing w:after="0"/>
              <w:rPr>
                <w:sz w:val="18"/>
                <w:szCs w:val="18"/>
                <w:color w:val="auto"/>
              </w:rPr>
            </w:pPr>
          </w:p>
        </w:tc>
      </w:tr>
      <w:tr>
        <w:trPr>
          <w:trHeight w:val="209"/>
        </w:trPr>
        <w:tc>
          <w:tcPr>
            <w:tcW w:w="720" w:type="dxa"/>
            <w:vAlign w:val="bottom"/>
            <w:tcBorders>
              <w:bottom w:val="single" w:sz="8" w:color="CCEEFF"/>
            </w:tcBorders>
          </w:tcPr>
          <w:p>
            <w:pPr>
              <w:spacing w:after="0"/>
              <w:rPr>
                <w:sz w:val="18"/>
                <w:szCs w:val="18"/>
                <w:color w:val="auto"/>
              </w:rPr>
            </w:pPr>
          </w:p>
        </w:tc>
        <w:tc>
          <w:tcPr>
            <w:tcW w:w="7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7,329,438</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6,435,811</w:t>
            </w:r>
          </w:p>
        </w:tc>
        <w:tc>
          <w:tcPr>
            <w:tcW w:w="140" w:type="dxa"/>
            <w:vAlign w:val="bottom"/>
            <w:tcBorders>
              <w:bottom w:val="single" w:sz="8" w:color="CCEEFF"/>
            </w:tcBorders>
          </w:tcPr>
          <w:p>
            <w:pPr>
              <w:spacing w:after="0"/>
              <w:rPr>
                <w:sz w:val="18"/>
                <w:szCs w:val="18"/>
                <w:color w:val="auto"/>
              </w:rPr>
            </w:pPr>
          </w:p>
        </w:tc>
      </w:tr>
      <w:tr>
        <w:trPr>
          <w:trHeight w:val="209"/>
        </w:trPr>
        <w:tc>
          <w:tcPr>
            <w:tcW w:w="72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5"/>
        </w:trPr>
        <w:tc>
          <w:tcPr>
            <w:tcW w:w="80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3,794,127</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3,792,461</w:t>
            </w:r>
          </w:p>
        </w:tc>
        <w:tc>
          <w:tcPr>
            <w:tcW w:w="140" w:type="dxa"/>
            <w:vAlign w:val="bottom"/>
            <w:tcBorders>
              <w:bottom w:val="single" w:sz="8" w:color="CCEEFF"/>
            </w:tcBorders>
          </w:tcPr>
          <w:p>
            <w:pPr>
              <w:spacing w:after="0"/>
              <w:rPr>
                <w:sz w:val="18"/>
                <w:szCs w:val="18"/>
                <w:color w:val="auto"/>
              </w:rPr>
            </w:pPr>
          </w:p>
        </w:tc>
      </w:tr>
      <w:tr>
        <w:trPr>
          <w:trHeight w:val="209"/>
        </w:trPr>
        <w:tc>
          <w:tcPr>
            <w:tcW w:w="72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5"/>
        </w:trPr>
        <w:tc>
          <w:tcPr>
            <w:tcW w:w="8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8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Investments in corporate joint ventures: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5"/>
        </w:trPr>
        <w:tc>
          <w:tcPr>
            <w:tcW w:w="8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Industrial chemical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14,828,401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13,180,576</w:t>
            </w:r>
          </w:p>
        </w:tc>
        <w:tc>
          <w:tcPr>
            <w:tcW w:w="140" w:type="dxa"/>
            <w:vAlign w:val="bottom"/>
          </w:tcPr>
          <w:p>
            <w:pPr>
              <w:spacing w:after="0"/>
              <w:rPr>
                <w:sz w:val="18"/>
                <w:szCs w:val="18"/>
                <w:color w:val="auto"/>
              </w:rPr>
            </w:pPr>
          </w:p>
        </w:tc>
      </w:tr>
      <w:tr>
        <w:trPr>
          <w:trHeight w:val="215"/>
        </w:trPr>
        <w:tc>
          <w:tcPr>
            <w:tcW w:w="8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Industrial non-chemical</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381,305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422,266</w:t>
            </w:r>
          </w:p>
        </w:tc>
        <w:tc>
          <w:tcPr>
            <w:tcW w:w="140" w:type="dxa"/>
            <w:vAlign w:val="bottom"/>
            <w:shd w:val="clear" w:color="auto" w:fill="CCEEFF"/>
          </w:tcPr>
          <w:p>
            <w:pPr>
              <w:spacing w:after="0"/>
              <w:rPr>
                <w:sz w:val="18"/>
                <w:szCs w:val="18"/>
                <w:color w:val="auto"/>
              </w:rPr>
            </w:pPr>
          </w:p>
        </w:tc>
      </w:tr>
      <w:tr>
        <w:trPr>
          <w:trHeight w:val="215"/>
        </w:trPr>
        <w:tc>
          <w:tcPr>
            <w:tcW w:w="8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779,500</w:t>
            </w:r>
          </w:p>
        </w:tc>
        <w:tc>
          <w:tcPr>
            <w:tcW w:w="140" w:type="dxa"/>
            <w:vAlign w:val="bottom"/>
          </w:tcPr>
          <w:p>
            <w:pPr>
              <w:spacing w:after="0"/>
              <w:rPr>
                <w:sz w:val="18"/>
                <w:szCs w:val="18"/>
                <w:color w:val="auto"/>
              </w:rPr>
            </w:pPr>
          </w:p>
        </w:tc>
      </w:tr>
      <w:tr>
        <w:trPr>
          <w:trHeight w:val="215"/>
        </w:trPr>
        <w:tc>
          <w:tcPr>
            <w:tcW w:w="8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Notes receivable</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163,356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32,187</w:t>
            </w:r>
          </w:p>
        </w:tc>
        <w:tc>
          <w:tcPr>
            <w:tcW w:w="140" w:type="dxa"/>
            <w:vAlign w:val="bottom"/>
            <w:shd w:val="clear" w:color="auto" w:fill="CCEEFF"/>
          </w:tcPr>
          <w:p>
            <w:pPr>
              <w:spacing w:after="0"/>
              <w:rPr>
                <w:sz w:val="18"/>
                <w:szCs w:val="18"/>
                <w:color w:val="auto"/>
              </w:rPr>
            </w:pPr>
          </w:p>
        </w:tc>
      </w:tr>
      <w:tr>
        <w:trPr>
          <w:trHeight w:val="215"/>
        </w:trPr>
        <w:tc>
          <w:tcPr>
            <w:tcW w:w="8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Industrial patents and trademarks,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976,949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983,206</w:t>
            </w:r>
          </w:p>
        </w:tc>
        <w:tc>
          <w:tcPr>
            <w:tcW w:w="140" w:type="dxa"/>
            <w:vAlign w:val="bottom"/>
          </w:tcPr>
          <w:p>
            <w:pPr>
              <w:spacing w:after="0"/>
              <w:rPr>
                <w:sz w:val="18"/>
                <w:szCs w:val="18"/>
                <w:color w:val="auto"/>
              </w:rPr>
            </w:pPr>
          </w:p>
        </w:tc>
      </w:tr>
      <w:tr>
        <w:trPr>
          <w:trHeight w:val="215"/>
        </w:trPr>
        <w:tc>
          <w:tcPr>
            <w:tcW w:w="8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304,000</w:t>
            </w:r>
          </w:p>
        </w:tc>
        <w:tc>
          <w:tcPr>
            <w:tcW w:w="140" w:type="dxa"/>
            <w:vAlign w:val="bottom"/>
            <w:shd w:val="clear" w:color="auto" w:fill="CCEEFF"/>
          </w:tcPr>
          <w:p>
            <w:pPr>
              <w:spacing w:after="0"/>
              <w:rPr>
                <w:sz w:val="18"/>
                <w:szCs w:val="18"/>
                <w:color w:val="auto"/>
              </w:rPr>
            </w:pPr>
          </w:p>
        </w:tc>
      </w:tr>
      <w:tr>
        <w:trPr>
          <w:trHeight w:val="215"/>
        </w:trPr>
        <w:tc>
          <w:tcPr>
            <w:tcW w:w="80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359,315</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366,749</w:t>
            </w:r>
          </w:p>
        </w:tc>
        <w:tc>
          <w:tcPr>
            <w:tcW w:w="140" w:type="dxa"/>
            <w:vAlign w:val="bottom"/>
            <w:tcBorders>
              <w:bottom w:val="single" w:sz="8" w:color="CCEEFF"/>
            </w:tcBorders>
          </w:tcPr>
          <w:p>
            <w:pPr>
              <w:spacing w:after="0"/>
              <w:rPr>
                <w:sz w:val="18"/>
                <w:szCs w:val="18"/>
                <w:color w:val="auto"/>
              </w:rPr>
            </w:pPr>
          </w:p>
        </w:tc>
      </w:tr>
      <w:tr>
        <w:trPr>
          <w:trHeight w:val="188"/>
        </w:trPr>
        <w:tc>
          <w:tcPr>
            <w:tcW w:w="720" w:type="dxa"/>
            <w:vAlign w:val="bottom"/>
            <w:shd w:val="clear" w:color="auto" w:fill="CCEEFF"/>
          </w:tcPr>
          <w:p>
            <w:pPr>
              <w:spacing w:after="0"/>
              <w:rPr>
                <w:sz w:val="16"/>
                <w:szCs w:val="16"/>
                <w:color w:val="auto"/>
              </w:rPr>
            </w:pPr>
          </w:p>
        </w:tc>
        <w:tc>
          <w:tcPr>
            <w:tcW w:w="7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bl>
    <w:p>
      <w:pPr>
        <w:sectPr>
          <w:pgSz w:w="11900" w:h="16900" w:orient="portrait"/>
          <w:cols w:equalWidth="0" w:num="1">
            <w:col w:w="11420"/>
          </w:cols>
          <w:pgMar w:left="240" w:top="323" w:right="2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17,692,826</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16,068,484</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5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28,916,391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26,296,756</w:t>
            </w:r>
          </w:p>
        </w:tc>
        <w:tc>
          <w:tcPr>
            <w:tcW w:w="12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note payable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30,362</w:t>
            </w:r>
          </w:p>
        </w:tc>
        <w:tc>
          <w:tcPr>
            <w:tcW w:w="14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1,337,443</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1,025,858</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5"/>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Deferred joint venture royalties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192,000</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146,227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62,414</w:t>
            </w:r>
          </w:p>
        </w:tc>
        <w:tc>
          <w:tcPr>
            <w:tcW w:w="12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5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2,245,883</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2,647,034</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NOTE PAYABLE, NET OF CURRENT PORTION</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1,196,402</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1,211,528</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5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MINORITY INTEREST</w:t>
            </w: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36,133</w:t>
            </w:r>
          </w:p>
        </w:tc>
        <w:tc>
          <w:tcPr>
            <w:tcW w:w="12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700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Preferred stock, no par value; authorized 10,000 shares; none issued and outstanding</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197"/>
        </w:trPr>
        <w:tc>
          <w:tcPr>
            <w:tcW w:w="8460" w:type="dxa"/>
            <w:vAlign w:val="bottom"/>
            <w:gridSpan w:val="8"/>
          </w:tcPr>
          <w:p>
            <w:pPr>
              <w:ind w:left="380"/>
              <w:spacing w:after="0" w:line="197" w:lineRule="exact"/>
              <w:rPr>
                <w:sz w:val="20"/>
                <w:szCs w:val="20"/>
                <w:color w:val="auto"/>
              </w:rPr>
            </w:pPr>
            <w:r>
              <w:rPr>
                <w:rFonts w:ascii="Times New Roman" w:cs="Times New Roman" w:eastAsia="Times New Roman" w:hAnsi="Times New Roman"/>
                <w:sz w:val="18"/>
                <w:szCs w:val="18"/>
                <w:color w:val="auto"/>
              </w:rPr>
              <w:t>Common stock, $0.02 par value per share; authorized 10,000,000 shares; issued and outstanding</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3,723,166 and 3,683,016, respectively</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73,660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5"/>
        </w:trPr>
        <w:tc>
          <w:tcPr>
            <w:tcW w:w="5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5,181,715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4,755,146</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17,436,868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16,118,982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2,767,072</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1,454,273</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50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25,460,118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22,402,061</w:t>
            </w:r>
          </w:p>
        </w:tc>
        <w:tc>
          <w:tcPr>
            <w:tcW w:w="12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5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28,916,391</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26,296,756</w:t>
            </w: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1"/>
        </w:trPr>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993"/>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1"/>
        </w:trPr>
        <w:tc>
          <w:tcPr>
            <w:tcW w:w="6840" w:type="dxa"/>
            <w:vAlign w:val="bottom"/>
            <w:tcBorders>
              <w:bottom w:val="single" w:sz="8" w:color="010101"/>
            </w:tcBorders>
            <w:gridSpan w:val="3"/>
          </w:tcPr>
          <w:p>
            <w:pPr>
              <w:spacing w:after="0"/>
              <w:rPr>
                <w:sz w:val="11"/>
                <w:szCs w:val="11"/>
                <w:color w:val="auto"/>
              </w:rPr>
            </w:pPr>
          </w:p>
        </w:tc>
        <w:tc>
          <w:tcPr>
            <w:tcW w:w="420" w:type="dxa"/>
            <w:vAlign w:val="bottom"/>
            <w:tcBorders>
              <w:bottom w:val="single" w:sz="8" w:color="010101"/>
            </w:tcBorders>
            <w:gridSpan w:val="2"/>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55"/>
        </w:trPr>
        <w:tc>
          <w:tcPr>
            <w:tcW w:w="72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NORTHERN TECHNOLOGIES INTERNATIONAL CORPORATION AND SUBSIDIARIES</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b w:val="1"/>
                <w:bCs w:val="1"/>
                <w:color w:val="auto"/>
                <w:w w:val="99"/>
              </w:rPr>
              <w:t>CONSOLIDATED STATEMENTS OF OPERATIONS (Unaudited)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7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THREE AND SIX MONTHS ENDED FEBRUARY 29, 2008 AND FEBRUARY 28, 2007</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3"/>
        </w:trPr>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24"/>
                <w:szCs w:val="24"/>
                <w:color w:val="auto"/>
              </w:rPr>
            </w:pPr>
          </w:p>
        </w:tc>
        <w:tc>
          <w:tcPr>
            <w:tcW w:w="2780" w:type="dxa"/>
            <w:vAlign w:val="bottom"/>
            <w:gridSpan w:val="8"/>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 w:type="dxa"/>
            <w:vAlign w:val="bottom"/>
          </w:tcPr>
          <w:p>
            <w:pPr>
              <w:spacing w:after="0"/>
              <w:rPr>
                <w:sz w:val="24"/>
                <w:szCs w:val="24"/>
                <w:color w:val="auto"/>
              </w:rPr>
            </w:pPr>
          </w:p>
        </w:tc>
      </w:tr>
      <w:tr>
        <w:trPr>
          <w:trHeight w:val="117"/>
        </w:trPr>
        <w:tc>
          <w:tcPr>
            <w:tcW w:w="55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420"/>
              <w:spacing w:after="0" w:line="117" w:lineRule="exact"/>
              <w:rPr>
                <w:sz w:val="20"/>
                <w:szCs w:val="20"/>
                <w:color w:val="auto"/>
              </w:rPr>
            </w:pPr>
            <w:r>
              <w:rPr>
                <w:rFonts w:ascii="Times New Roman" w:cs="Times New Roman" w:eastAsia="Times New Roman" w:hAnsi="Times New Roman"/>
                <w:sz w:val="13"/>
                <w:szCs w:val="13"/>
                <w:b w:val="1"/>
                <w:bCs w:val="1"/>
                <w:color w:val="auto"/>
              </w:rPr>
              <w:t>February 29,</w:t>
            </w: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170"/>
              <w:spacing w:after="0" w:line="117" w:lineRule="exact"/>
              <w:rPr>
                <w:sz w:val="20"/>
                <w:szCs w:val="20"/>
                <w:color w:val="auto"/>
              </w:rPr>
            </w:pPr>
            <w:r>
              <w:rPr>
                <w:rFonts w:ascii="Times New Roman" w:cs="Times New Roman" w:eastAsia="Times New Roman" w:hAnsi="Times New Roman"/>
                <w:sz w:val="13"/>
                <w:szCs w:val="13"/>
                <w:b w:val="1"/>
                <w:bCs w:val="1"/>
                <w:color w:val="auto"/>
              </w:rPr>
              <w:t>February 28,</w:t>
            </w: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ind w:left="80"/>
              <w:spacing w:after="0" w:line="117" w:lineRule="exact"/>
              <w:rPr>
                <w:sz w:val="20"/>
                <w:szCs w:val="20"/>
                <w:color w:val="auto"/>
              </w:rPr>
            </w:pPr>
            <w:r>
              <w:rPr>
                <w:rFonts w:ascii="Times New Roman" w:cs="Times New Roman" w:eastAsia="Times New Roman" w:hAnsi="Times New Roman"/>
                <w:sz w:val="13"/>
                <w:szCs w:val="13"/>
                <w:b w:val="1"/>
                <w:bCs w:val="1"/>
                <w:color w:val="auto"/>
              </w:rPr>
              <w:t>February 29,</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191"/>
              <w:spacing w:after="0" w:line="117" w:lineRule="exact"/>
              <w:rPr>
                <w:sz w:val="20"/>
                <w:szCs w:val="20"/>
                <w:color w:val="auto"/>
              </w:rPr>
            </w:pPr>
            <w:r>
              <w:rPr>
                <w:rFonts w:ascii="Times New Roman" w:cs="Times New Roman" w:eastAsia="Times New Roman" w:hAnsi="Times New Roman"/>
                <w:sz w:val="13"/>
                <w:szCs w:val="13"/>
                <w:b w:val="1"/>
                <w:bCs w:val="1"/>
                <w:color w:val="auto"/>
              </w:rPr>
              <w:t>February 28,</w:t>
            </w:r>
          </w:p>
        </w:tc>
        <w:tc>
          <w:tcPr>
            <w:tcW w:w="1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r>
      <w:tr>
        <w:trPr>
          <w:trHeight w:val="173"/>
        </w:trPr>
        <w:tc>
          <w:tcPr>
            <w:tcW w:w="55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2008</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2007</w:t>
            </w: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2008</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195"/>
        </w:trPr>
        <w:tc>
          <w:tcPr>
            <w:tcW w:w="550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NORTH AMERICAN OPERATIONS:</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5"/>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2,762,856</w:t>
            </w:r>
          </w:p>
        </w:tc>
        <w:tc>
          <w:tcPr>
            <w:tcW w:w="1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3,884,895</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6,248,441</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8,502,269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1,609,954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2,459,064</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3,703,645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5,404,119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5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1,152,902</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1,425,831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2,544,796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3,098,150</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Selling</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754,302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810,165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1,613,946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1,579,204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894,525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804,289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1,842,822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1,627,172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Lab and technical support</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53,616</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110,744</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130,375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5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1,702,443</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1,659,789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3,567,512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3,336,751</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AMERICAN OPERATING LOSS</w:t>
            </w: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(549,541 )</w:t>
            </w:r>
          </w:p>
        </w:tc>
        <w:tc>
          <w:tcPr>
            <w:tcW w:w="26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(233,958 )</w:t>
            </w:r>
          </w:p>
        </w:tc>
        <w:tc>
          <w:tcPr>
            <w:tcW w:w="180" w:type="dxa"/>
            <w:vAlign w:val="bottom"/>
          </w:tcPr>
          <w:p>
            <w:pPr>
              <w:spacing w:after="0"/>
              <w:rPr>
                <w:sz w:val="18"/>
                <w:szCs w:val="18"/>
                <w:color w:val="auto"/>
              </w:rPr>
            </w:pP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(1,022,716 )</w:t>
            </w:r>
          </w:p>
        </w:tc>
        <w:tc>
          <w:tcPr>
            <w:tcW w:w="18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(238,601 )</w:t>
            </w:r>
          </w:p>
        </w:tc>
        <w:tc>
          <w:tcPr>
            <w:tcW w:w="40" w:type="dxa"/>
            <w:vAlign w:val="bottom"/>
          </w:tcPr>
          <w:p>
            <w:pPr>
              <w:spacing w:after="0"/>
              <w:rPr>
                <w:sz w:val="18"/>
                <w:szCs w:val="18"/>
                <w:color w:val="auto"/>
              </w:rPr>
            </w:pPr>
          </w:p>
        </w:tc>
      </w:tr>
      <w:tr>
        <w:trPr>
          <w:trHeight w:val="215"/>
        </w:trPr>
        <w:tc>
          <w:tcPr>
            <w:tcW w:w="5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JOINT VENTURES AND HOLDING COMPANIES: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7"/>
        </w:trPr>
        <w:tc>
          <w:tcPr>
            <w:tcW w:w="5500" w:type="dxa"/>
            <w:vAlign w:val="bottom"/>
            <w:shd w:val="clear" w:color="auto" w:fill="CCEEFF"/>
          </w:tcPr>
          <w:p>
            <w:pPr>
              <w:ind w:left="380"/>
              <w:spacing w:after="0" w:line="197" w:lineRule="exact"/>
              <w:rPr>
                <w:sz w:val="20"/>
                <w:szCs w:val="20"/>
                <w:color w:val="auto"/>
              </w:rPr>
            </w:pPr>
            <w:r>
              <w:rPr>
                <w:rFonts w:ascii="Times New Roman" w:cs="Times New Roman" w:eastAsia="Times New Roman" w:hAnsi="Times New Roman"/>
                <w:sz w:val="18"/>
                <w:szCs w:val="18"/>
                <w:color w:val="auto"/>
              </w:rPr>
              <w:t>Equity in income of industrial chemical corporate joint ventures and</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holding companies</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880,777</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1,002,944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1,953,811</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1,595,934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197"/>
        </w:trPr>
        <w:tc>
          <w:tcPr>
            <w:tcW w:w="5500" w:type="dxa"/>
            <w:vAlign w:val="bottom"/>
          </w:tcPr>
          <w:p>
            <w:pPr>
              <w:ind w:left="380"/>
              <w:spacing w:after="0" w:line="197" w:lineRule="exact"/>
              <w:rPr>
                <w:sz w:val="20"/>
                <w:szCs w:val="20"/>
                <w:color w:val="auto"/>
              </w:rPr>
            </w:pPr>
            <w:r>
              <w:rPr>
                <w:rFonts w:ascii="Times New Roman" w:cs="Times New Roman" w:eastAsia="Times New Roman" w:hAnsi="Times New Roman"/>
                <w:sz w:val="18"/>
                <w:szCs w:val="18"/>
                <w:color w:val="auto"/>
              </w:rPr>
              <w:t>Equity in (loss) income of industrial non-chemical corporate joint</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ventures and holding companies</w:t>
            </w:r>
          </w:p>
        </w:tc>
        <w:tc>
          <w:tcPr>
            <w:tcW w:w="14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(67,603 )</w:t>
            </w:r>
          </w:p>
        </w:tc>
        <w:tc>
          <w:tcPr>
            <w:tcW w:w="260" w:type="dxa"/>
            <w:vAlign w:val="bottom"/>
          </w:tcPr>
          <w:p>
            <w:pPr>
              <w:spacing w:after="0"/>
              <w:rPr>
                <w:sz w:val="20"/>
                <w:szCs w:val="20"/>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(8,429 )</w:t>
            </w:r>
          </w:p>
        </w:tc>
        <w:tc>
          <w:tcPr>
            <w:tcW w:w="180" w:type="dxa"/>
            <w:vAlign w:val="bottom"/>
          </w:tcPr>
          <w:p>
            <w:pPr>
              <w:spacing w:after="0"/>
              <w:rPr>
                <w:sz w:val="20"/>
                <w:szCs w:val="20"/>
                <w:color w:val="auto"/>
              </w:rPr>
            </w:pP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(85,955 )</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5"/>
        </w:trPr>
        <w:tc>
          <w:tcPr>
            <w:tcW w:w="5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on sale of industrial chemical corporate joint venture</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172,767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172,767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197"/>
        </w:trPr>
        <w:tc>
          <w:tcPr>
            <w:tcW w:w="5500" w:type="dxa"/>
            <w:vAlign w:val="bottom"/>
          </w:tcPr>
          <w:p>
            <w:pPr>
              <w:ind w:left="380"/>
              <w:spacing w:after="0" w:line="197" w:lineRule="exact"/>
              <w:rPr>
                <w:sz w:val="20"/>
                <w:szCs w:val="20"/>
                <w:color w:val="auto"/>
              </w:rPr>
            </w:pPr>
            <w:r>
              <w:rPr>
                <w:rFonts w:ascii="Times New Roman" w:cs="Times New Roman" w:eastAsia="Times New Roman" w:hAnsi="Times New Roman"/>
                <w:sz w:val="18"/>
                <w:szCs w:val="18"/>
                <w:color w:val="auto"/>
              </w:rPr>
              <w:t>Fees for technical support and other services provided to corporate</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5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joint ventures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1,626,632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1,213,162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3,020,427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2,346,003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5"/>
        </w:trPr>
        <w:tc>
          <w:tcPr>
            <w:tcW w:w="5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Expenses incurred in support of corporate joint ventures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(1,185,509 )</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(1,341,052 )</w:t>
            </w:r>
          </w:p>
        </w:tc>
        <w:tc>
          <w:tcPr>
            <w:tcW w:w="1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(2,424,684 )</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(2,657,301 )</w:t>
            </w:r>
          </w:p>
        </w:tc>
        <w:tc>
          <w:tcPr>
            <w:tcW w:w="40" w:type="dxa"/>
            <w:vAlign w:val="bottom"/>
          </w:tcPr>
          <w:p>
            <w:pPr>
              <w:spacing w:after="0"/>
              <w:rPr>
                <w:sz w:val="18"/>
                <w:szCs w:val="18"/>
                <w:color w:val="auto"/>
              </w:rPr>
            </w:pPr>
          </w:p>
        </w:tc>
      </w:tr>
      <w:tr>
        <w:trPr>
          <w:trHeight w:val="209"/>
        </w:trPr>
        <w:tc>
          <w:tcPr>
            <w:tcW w:w="5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7"/>
        </w:trPr>
        <w:tc>
          <w:tcPr>
            <w:tcW w:w="550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8"/>
                <w:szCs w:val="18"/>
                <w:color w:val="auto"/>
              </w:rPr>
              <w:t>INCOME FROM ALL CORPORATE JOINT VENTURES AND</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HOLDING COMPANIES</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1,427,064</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866,625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2,636,366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1,318,436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5"/>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(40,592 )</w:t>
            </w:r>
          </w:p>
        </w:tc>
        <w:tc>
          <w:tcPr>
            <w:tcW w:w="26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(47,483 )</w:t>
            </w:r>
          </w:p>
        </w:tc>
        <w:tc>
          <w:tcPr>
            <w:tcW w:w="180" w:type="dxa"/>
            <w:vAlign w:val="bottom"/>
          </w:tcPr>
          <w:p>
            <w:pPr>
              <w:spacing w:after="0"/>
              <w:rPr>
                <w:sz w:val="18"/>
                <w:szCs w:val="18"/>
                <w:color w:val="auto"/>
              </w:rPr>
            </w:pP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(72,115 )</w:t>
            </w:r>
          </w:p>
        </w:tc>
        <w:tc>
          <w:tcPr>
            <w:tcW w:w="18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(90,364 )</w:t>
            </w:r>
          </w:p>
        </w:tc>
        <w:tc>
          <w:tcPr>
            <w:tcW w:w="40" w:type="dxa"/>
            <w:vAlign w:val="bottom"/>
          </w:tcPr>
          <w:p>
            <w:pPr>
              <w:spacing w:after="0"/>
              <w:rPr>
                <w:sz w:val="18"/>
                <w:szCs w:val="18"/>
                <w:color w:val="auto"/>
              </w:rPr>
            </w:pPr>
          </w:p>
        </w:tc>
      </w:tr>
      <w:tr>
        <w:trPr>
          <w:trHeight w:val="21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MINORITY INTEREST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(7,314 )</w:t>
            </w:r>
          </w:p>
        </w:tc>
        <w:tc>
          <w:tcPr>
            <w:tcW w:w="40" w:type="dxa"/>
            <w:vAlign w:val="bottom"/>
          </w:tcPr>
          <w:p>
            <w:pPr>
              <w:spacing w:after="0"/>
              <w:rPr>
                <w:sz w:val="18"/>
                <w:szCs w:val="18"/>
                <w:color w:val="auto"/>
              </w:rPr>
            </w:pPr>
          </w:p>
        </w:tc>
      </w:tr>
      <w:tr>
        <w:trPr>
          <w:trHeight w:val="209"/>
        </w:trPr>
        <w:tc>
          <w:tcPr>
            <w:tcW w:w="5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848,690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596,203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1,584,886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1,718,427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189,000</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148,000</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267,000</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74"/>
        </w:trPr>
        <w:tc>
          <w:tcPr>
            <w:tcW w:w="55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-6252845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-6252845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659,690</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448,203</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1,317,886</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1,438,427</w:t>
            </w:r>
          </w:p>
        </w:tc>
        <w:tc>
          <w:tcPr>
            <w:tcW w:w="140" w:type="dxa"/>
            <w:vAlign w:val="bottom"/>
            <w:shd w:val="clear" w:color="auto" w:fill="CCEEFF"/>
          </w:tcPr>
          <w:p>
            <w:pPr>
              <w:spacing w:after="0"/>
              <w:rPr>
                <w:sz w:val="18"/>
                <w:szCs w:val="18"/>
                <w:color w:val="auto"/>
              </w:rPr>
            </w:pPr>
          </w:p>
        </w:tc>
      </w:tr>
      <w:tr>
        <w:trPr>
          <w:trHeight w:val="209"/>
        </w:trPr>
        <w:tc>
          <w:tcPr>
            <w:tcW w:w="5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5"/>
        </w:trPr>
        <w:tc>
          <w:tcPr>
            <w:tcW w:w="55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40" w:type="dxa"/>
            <w:vAlign w:val="bottom"/>
            <w:tcBorders>
              <w:bottom w:val="single" w:sz="8" w:color="CCEEFF"/>
            </w:tcBorders>
          </w:tcPr>
          <w:p>
            <w:pPr>
              <w:spacing w:after="0"/>
              <w:rPr>
                <w:sz w:val="18"/>
                <w:szCs w:val="18"/>
                <w:color w:val="auto"/>
              </w:rPr>
            </w:pPr>
          </w:p>
        </w:tc>
      </w:tr>
      <w:tr>
        <w:trPr>
          <w:trHeight w:val="209"/>
        </w:trPr>
        <w:tc>
          <w:tcPr>
            <w:tcW w:w="5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shd w:val="clear" w:color="auto" w:fill="CCEEFF"/>
          </w:tcPr>
          <w:p>
            <w:pPr>
              <w:spacing w:after="0"/>
              <w:rPr>
                <w:sz w:val="18"/>
                <w:szCs w:val="18"/>
                <w:color w:val="auto"/>
              </w:rPr>
            </w:pPr>
          </w:p>
        </w:tc>
      </w:tr>
      <w:tr>
        <w:trPr>
          <w:trHeight w:val="209"/>
        </w:trPr>
        <w:tc>
          <w:tcPr>
            <w:tcW w:w="5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7"/>
        </w:trPr>
        <w:tc>
          <w:tcPr>
            <w:tcW w:w="550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8"/>
                <w:szCs w:val="18"/>
                <w:color w:val="auto"/>
              </w:rPr>
              <w:t>WEIGHTED AVERAGE COMMON SHARES ASSUMED</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5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w:t>
            </w: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5"/>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3,720,522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3,664,248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3,694,588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3,644,126</w:t>
            </w:r>
          </w:p>
        </w:tc>
        <w:tc>
          <w:tcPr>
            <w:tcW w:w="140" w:type="dxa"/>
            <w:vAlign w:val="bottom"/>
          </w:tcPr>
          <w:p>
            <w:pPr>
              <w:spacing w:after="0"/>
              <w:rPr>
                <w:sz w:val="18"/>
                <w:szCs w:val="18"/>
                <w:color w:val="auto"/>
              </w:rPr>
            </w:pPr>
          </w:p>
        </w:tc>
      </w:tr>
      <w:tr>
        <w:trPr>
          <w:trHeight w:val="215"/>
        </w:trPr>
        <w:tc>
          <w:tcPr>
            <w:tcW w:w="5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3,753,747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3,690,260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3,732,175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3,679,023</w:t>
            </w:r>
          </w:p>
        </w:tc>
        <w:tc>
          <w:tcPr>
            <w:tcW w:w="140" w:type="dxa"/>
            <w:vAlign w:val="bottom"/>
            <w:shd w:val="clear" w:color="auto" w:fill="CCEEFF"/>
          </w:tcPr>
          <w:p>
            <w:pPr>
              <w:spacing w:after="0"/>
              <w:rPr>
                <w:sz w:val="18"/>
                <w:szCs w:val="18"/>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68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NORTHERN TECHNOLOGIES INTERNATIONAL CORPORATION AND SUBSIDIARIES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CONSOLIDATED STATEMENTS OF CASH FLOWS (Unaudited) SIX MONTHS ENDED FEBRUARY 29, 2008 and FEBRUARY 28,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0" w:type="dxa"/>
            <w:vAlign w:val="bottom"/>
            <w:gridSpan w:val="5"/>
          </w:tcPr>
          <w:p>
            <w:pPr>
              <w:jc w:val="right"/>
              <w:ind w:right="134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7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2"/>
          </w:tcPr>
          <w:p>
            <w:pPr>
              <w:jc w:val="right"/>
              <w:ind w:right="422"/>
              <w:spacing w:after="0" w:line="141" w:lineRule="exact"/>
              <w:rPr>
                <w:sz w:val="20"/>
                <w:szCs w:val="20"/>
                <w:color w:val="auto"/>
              </w:rPr>
            </w:pPr>
            <w:r>
              <w:rPr>
                <w:rFonts w:ascii="Times New Roman" w:cs="Times New Roman" w:eastAsia="Times New Roman" w:hAnsi="Times New Roman"/>
                <w:sz w:val="14"/>
                <w:szCs w:val="14"/>
                <w:b w:val="1"/>
                <w:bCs w:val="1"/>
                <w:color w:val="auto"/>
              </w:rPr>
              <w:t>February 29, 2008</w:t>
            </w:r>
          </w:p>
        </w:tc>
        <w:tc>
          <w:tcPr>
            <w:tcW w:w="2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211"/>
              <w:spacing w:after="0" w:line="141" w:lineRule="exact"/>
              <w:rPr>
                <w:sz w:val="20"/>
                <w:szCs w:val="20"/>
                <w:color w:val="auto"/>
              </w:rPr>
            </w:pPr>
            <w:r>
              <w:rPr>
                <w:rFonts w:ascii="Times New Roman" w:cs="Times New Roman" w:eastAsia="Times New Roman" w:hAnsi="Times New Roman"/>
                <w:sz w:val="14"/>
                <w:szCs w:val="14"/>
                <w:b w:val="1"/>
                <w:bCs w:val="1"/>
                <w:color w:val="auto"/>
              </w:rPr>
              <w:t>February 28, 2007</w:t>
            </w:r>
          </w:p>
        </w:tc>
        <w:tc>
          <w:tcPr>
            <w:tcW w:w="140" w:type="dxa"/>
            <w:vAlign w:val="bottom"/>
          </w:tcPr>
          <w:p>
            <w:pPr>
              <w:spacing w:after="0"/>
              <w:rPr>
                <w:sz w:val="12"/>
                <w:szCs w:val="12"/>
                <w:color w:val="auto"/>
              </w:rPr>
            </w:pPr>
          </w:p>
        </w:tc>
      </w:tr>
      <w:tr>
        <w:trPr>
          <w:trHeight w:val="195"/>
        </w:trPr>
        <w:tc>
          <w:tcPr>
            <w:tcW w:w="7620" w:type="dxa"/>
            <w:vAlign w:val="bottom"/>
            <w:tcBorders>
              <w:top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215"/>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1,317,886</w:t>
            </w:r>
          </w:p>
        </w:tc>
        <w:tc>
          <w:tcPr>
            <w:tcW w:w="2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1,438,427</w:t>
            </w:r>
          </w:p>
        </w:tc>
        <w:tc>
          <w:tcPr>
            <w:tcW w:w="140" w:type="dxa"/>
            <w:vAlign w:val="bottom"/>
          </w:tcPr>
          <w:p>
            <w:pPr>
              <w:spacing w:after="0"/>
              <w:rPr>
                <w:sz w:val="18"/>
                <w:szCs w:val="18"/>
                <w:color w:val="auto"/>
              </w:rPr>
            </w:pPr>
          </w:p>
        </w:tc>
      </w:tr>
      <w:tr>
        <w:trPr>
          <w:trHeight w:val="215"/>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 activities: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5"/>
        </w:trPr>
        <w:tc>
          <w:tcPr>
            <w:tcW w:w="7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Expensing of fair value of stock options vested</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60,786</w:t>
            </w:r>
          </w:p>
        </w:tc>
        <w:tc>
          <w:tcPr>
            <w:tcW w:w="140" w:type="dxa"/>
            <w:vAlign w:val="bottom"/>
          </w:tcPr>
          <w:p>
            <w:pPr>
              <w:spacing w:after="0"/>
              <w:rPr>
                <w:sz w:val="18"/>
                <w:szCs w:val="18"/>
                <w:color w:val="auto"/>
              </w:rPr>
            </w:pPr>
          </w:p>
        </w:tc>
      </w:tr>
      <w:tr>
        <w:trPr>
          <w:trHeight w:val="215"/>
        </w:trPr>
        <w:tc>
          <w:tcPr>
            <w:tcW w:w="7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153,996</w:t>
            </w:r>
          </w:p>
        </w:tc>
        <w:tc>
          <w:tcPr>
            <w:tcW w:w="140" w:type="dxa"/>
            <w:vAlign w:val="bottom"/>
            <w:shd w:val="clear" w:color="auto" w:fill="CCEEFF"/>
          </w:tcPr>
          <w:p>
            <w:pPr>
              <w:spacing w:after="0"/>
              <w:rPr>
                <w:sz w:val="18"/>
                <w:szCs w:val="18"/>
                <w:color w:val="auto"/>
              </w:rPr>
            </w:pPr>
          </w:p>
        </w:tc>
      </w:tr>
      <w:tr>
        <w:trPr>
          <w:trHeight w:val="215"/>
        </w:trPr>
        <w:tc>
          <w:tcPr>
            <w:tcW w:w="7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Amortization expense</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91,696</w:t>
            </w:r>
          </w:p>
        </w:tc>
        <w:tc>
          <w:tcPr>
            <w:tcW w:w="140" w:type="dxa"/>
            <w:vAlign w:val="bottom"/>
          </w:tcPr>
          <w:p>
            <w:pPr>
              <w:spacing w:after="0"/>
              <w:rPr>
                <w:sz w:val="18"/>
                <w:szCs w:val="18"/>
                <w:color w:val="auto"/>
              </w:rPr>
            </w:pPr>
          </w:p>
        </w:tc>
      </w:tr>
      <w:tr>
        <w:trPr>
          <w:trHeight w:val="215"/>
        </w:trPr>
        <w:tc>
          <w:tcPr>
            <w:tcW w:w="7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Gain on sale of assets</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(5,530 )</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(726,195 )</w:t>
            </w:r>
          </w:p>
        </w:tc>
      </w:tr>
      <w:tr>
        <w:trPr>
          <w:trHeight w:val="215"/>
        </w:trPr>
        <w:tc>
          <w:tcPr>
            <w:tcW w:w="7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Minority interest expense</w:t>
            </w:r>
          </w:p>
        </w:tc>
        <w:tc>
          <w:tcPr>
            <w:tcW w:w="200" w:type="dxa"/>
            <w:vAlign w:val="bottom"/>
          </w:tcPr>
          <w:p>
            <w:pPr>
              <w:spacing w:after="0"/>
              <w:rPr>
                <w:sz w:val="18"/>
                <w:szCs w:val="18"/>
                <w:color w:val="auto"/>
              </w:rPr>
            </w:pPr>
          </w:p>
        </w:tc>
        <w:tc>
          <w:tcPr>
            <w:tcW w:w="17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(22,145 )</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40" w:type="dxa"/>
            <w:vAlign w:val="bottom"/>
          </w:tcPr>
          <w:p>
            <w:pPr>
              <w:spacing w:after="0"/>
              <w:rPr>
                <w:sz w:val="18"/>
                <w:szCs w:val="18"/>
                <w:color w:val="auto"/>
              </w:rPr>
            </w:pPr>
          </w:p>
        </w:tc>
      </w:tr>
      <w:tr>
        <w:trPr>
          <w:trHeight w:val="215"/>
        </w:trPr>
        <w:tc>
          <w:tcPr>
            <w:tcW w:w="7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Equity in income from corporate joint ventures: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5"/>
        </w:trPr>
        <w:tc>
          <w:tcPr>
            <w:tcW w:w="7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Industrial chemical</w:t>
            </w:r>
          </w:p>
        </w:tc>
        <w:tc>
          <w:tcPr>
            <w:tcW w:w="200" w:type="dxa"/>
            <w:vAlign w:val="bottom"/>
          </w:tcPr>
          <w:p>
            <w:pPr>
              <w:spacing w:after="0"/>
              <w:rPr>
                <w:sz w:val="18"/>
                <w:szCs w:val="18"/>
                <w:color w:val="auto"/>
              </w:rPr>
            </w:pPr>
          </w:p>
        </w:tc>
        <w:tc>
          <w:tcPr>
            <w:tcW w:w="17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(1,953,811 )</w:t>
            </w:r>
          </w:p>
        </w:tc>
        <w:tc>
          <w:tcPr>
            <w:tcW w:w="220" w:type="dxa"/>
            <w:vAlign w:val="bottom"/>
          </w:tcPr>
          <w:p>
            <w:pPr>
              <w:spacing w:after="0"/>
              <w:rPr>
                <w:sz w:val="18"/>
                <w:szCs w:val="18"/>
                <w:color w:val="auto"/>
              </w:rPr>
            </w:pPr>
          </w:p>
        </w:tc>
        <w:tc>
          <w:tcPr>
            <w:tcW w:w="16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(1,595,934 )</w:t>
            </w:r>
          </w:p>
        </w:tc>
      </w:tr>
      <w:tr>
        <w:trPr>
          <w:trHeight w:val="215"/>
        </w:trPr>
        <w:tc>
          <w:tcPr>
            <w:tcW w:w="76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Industrial non-chemical</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(33,800 )</w:t>
            </w:r>
          </w:p>
        </w:tc>
      </w:tr>
      <w:tr>
        <w:trPr>
          <w:trHeight w:val="215"/>
        </w:trPr>
        <w:tc>
          <w:tcPr>
            <w:tcW w:w="7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Gain on sale of industrial chemical corporate joint venture</w:t>
            </w:r>
          </w:p>
        </w:tc>
        <w:tc>
          <w:tcPr>
            <w:tcW w:w="200" w:type="dxa"/>
            <w:vAlign w:val="bottom"/>
          </w:tcPr>
          <w:p>
            <w:pPr>
              <w:spacing w:after="0"/>
              <w:rPr>
                <w:sz w:val="18"/>
                <w:szCs w:val="18"/>
                <w:color w:val="auto"/>
              </w:rPr>
            </w:pPr>
          </w:p>
        </w:tc>
        <w:tc>
          <w:tcPr>
            <w:tcW w:w="17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(172,767 )</w:t>
            </w:r>
          </w:p>
        </w:tc>
        <w:tc>
          <w:tcPr>
            <w:tcW w:w="220" w:type="dxa"/>
            <w:vAlign w:val="bottom"/>
          </w:tcPr>
          <w:p>
            <w:pPr>
              <w:spacing w:after="0"/>
              <w:rPr>
                <w:sz w:val="18"/>
                <w:szCs w:val="18"/>
                <w:color w:val="auto"/>
              </w:rPr>
            </w:pPr>
          </w:p>
        </w:tc>
        <w:tc>
          <w:tcPr>
            <w:tcW w:w="16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Deferred joint venture royalties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40" w:type="dxa"/>
            <w:vAlign w:val="bottom"/>
            <w:shd w:val="clear" w:color="auto" w:fill="CCEEFF"/>
          </w:tcPr>
          <w:p>
            <w:pPr>
              <w:spacing w:after="0"/>
              <w:rPr>
                <w:sz w:val="18"/>
                <w:szCs w:val="18"/>
                <w:color w:val="auto"/>
              </w:rPr>
            </w:pPr>
          </w:p>
        </w:tc>
      </w:tr>
      <w:tr>
        <w:trPr>
          <w:trHeight w:val="215"/>
        </w:trPr>
        <w:tc>
          <w:tcPr>
            <w:tcW w:w="7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 in current assets and liabilities:</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76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Receivables: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5"/>
        </w:trPr>
        <w:tc>
          <w:tcPr>
            <w:tcW w:w="7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Trade excluding corporate joint ventures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228,975</w:t>
            </w:r>
          </w:p>
        </w:tc>
        <w:tc>
          <w:tcPr>
            <w:tcW w:w="140" w:type="dxa"/>
            <w:vAlign w:val="bottom"/>
          </w:tcPr>
          <w:p>
            <w:pPr>
              <w:spacing w:after="0"/>
              <w:rPr>
                <w:sz w:val="18"/>
                <w:szCs w:val="18"/>
                <w:color w:val="auto"/>
              </w:rPr>
            </w:pPr>
          </w:p>
        </w:tc>
      </w:tr>
      <w:tr>
        <w:trPr>
          <w:trHeight w:val="215"/>
        </w:trPr>
        <w:tc>
          <w:tcPr>
            <w:tcW w:w="7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Trade corporate joint ventures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142,787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(14,251 )</w:t>
            </w:r>
          </w:p>
        </w:tc>
      </w:tr>
      <w:tr>
        <w:trPr>
          <w:trHeight w:val="215"/>
        </w:trPr>
        <w:tc>
          <w:tcPr>
            <w:tcW w:w="7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Technical and other services receivables, corporate joint ventures</w:t>
            </w:r>
          </w:p>
        </w:tc>
        <w:tc>
          <w:tcPr>
            <w:tcW w:w="200" w:type="dxa"/>
            <w:vAlign w:val="bottom"/>
          </w:tcPr>
          <w:p>
            <w:pPr>
              <w:spacing w:after="0"/>
              <w:rPr>
                <w:sz w:val="18"/>
                <w:szCs w:val="18"/>
                <w:color w:val="auto"/>
              </w:rPr>
            </w:pPr>
          </w:p>
        </w:tc>
        <w:tc>
          <w:tcPr>
            <w:tcW w:w="17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(590,111 )</w:t>
            </w:r>
          </w:p>
        </w:tc>
        <w:tc>
          <w:tcPr>
            <w:tcW w:w="220" w:type="dxa"/>
            <w:vAlign w:val="bottom"/>
          </w:tcPr>
          <w:p>
            <w:pPr>
              <w:spacing w:after="0"/>
              <w:rPr>
                <w:sz w:val="18"/>
                <w:szCs w:val="18"/>
                <w:color w:val="auto"/>
              </w:rPr>
            </w:pPr>
          </w:p>
        </w:tc>
        <w:tc>
          <w:tcPr>
            <w:tcW w:w="16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(86,953 )</w:t>
            </w:r>
          </w:p>
        </w:tc>
      </w:tr>
      <w:tr>
        <w:trPr>
          <w:trHeight w:val="215"/>
        </w:trPr>
        <w:tc>
          <w:tcPr>
            <w:tcW w:w="76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38,983</w:t>
            </w:r>
          </w:p>
        </w:tc>
        <w:tc>
          <w:tcPr>
            <w:tcW w:w="140" w:type="dxa"/>
            <w:vAlign w:val="bottom"/>
            <w:shd w:val="clear" w:color="auto" w:fill="CCEEFF"/>
          </w:tcPr>
          <w:p>
            <w:pPr>
              <w:spacing w:after="0"/>
              <w:rPr>
                <w:sz w:val="18"/>
                <w:szCs w:val="18"/>
                <w:color w:val="auto"/>
              </w:rPr>
            </w:pPr>
          </w:p>
        </w:tc>
      </w:tr>
      <w:tr>
        <w:trPr>
          <w:trHeight w:val="215"/>
        </w:trPr>
        <w:tc>
          <w:tcPr>
            <w:tcW w:w="7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17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(140,279 )</w:t>
            </w:r>
          </w:p>
        </w:tc>
        <w:tc>
          <w:tcPr>
            <w:tcW w:w="220" w:type="dxa"/>
            <w:vAlign w:val="bottom"/>
          </w:tcPr>
          <w:p>
            <w:pPr>
              <w:spacing w:after="0"/>
              <w:rPr>
                <w:sz w:val="18"/>
                <w:szCs w:val="18"/>
                <w:color w:val="auto"/>
              </w:rPr>
            </w:pPr>
          </w:p>
        </w:tc>
        <w:tc>
          <w:tcPr>
            <w:tcW w:w="16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(151,637 )</w:t>
            </w:r>
          </w:p>
        </w:tc>
      </w:tr>
      <w:tr>
        <w:trPr>
          <w:trHeight w:val="215"/>
        </w:trPr>
        <w:tc>
          <w:tcPr>
            <w:tcW w:w="76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(126,161 )</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(63,520 )</w:t>
            </w:r>
          </w:p>
        </w:tc>
      </w:tr>
      <w:tr>
        <w:trPr>
          <w:trHeight w:val="215"/>
        </w:trPr>
        <w:tc>
          <w:tcPr>
            <w:tcW w:w="7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6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(458,364 )</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(711,293 )</w:t>
            </w:r>
          </w:p>
        </w:tc>
      </w:tr>
      <w:tr>
        <w:trPr>
          <w:trHeight w:val="215"/>
        </w:trPr>
        <w:tc>
          <w:tcPr>
            <w:tcW w:w="7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311,054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(56,217 )</w:t>
            </w:r>
          </w:p>
        </w:tc>
      </w:tr>
      <w:tr>
        <w:trPr>
          <w:trHeight w:val="209"/>
        </w:trPr>
        <w:tc>
          <w:tcPr>
            <w:tcW w:w="762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(1,212,862</w:t>
            </w:r>
          </w:p>
        </w:tc>
        <w:tc>
          <w:tcPr>
            <w:tcW w:w="200" w:type="dxa"/>
            <w:vAlign w:val="bottom"/>
            <w:tcBorders>
              <w:top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(1,371,623</w:t>
            </w:r>
          </w:p>
        </w:tc>
        <w:tc>
          <w:tcPr>
            <w:tcW w:w="140" w:type="dxa"/>
            <w:vAlign w:val="bottom"/>
            <w:tcBorders>
              <w:top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r>
      <w:tr>
        <w:trPr>
          <w:trHeight w:val="215"/>
        </w:trPr>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5"/>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sale of assets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850,367</w:t>
            </w:r>
          </w:p>
        </w:tc>
        <w:tc>
          <w:tcPr>
            <w:tcW w:w="140" w:type="dxa"/>
            <w:vAlign w:val="bottom"/>
          </w:tcPr>
          <w:p>
            <w:pPr>
              <w:spacing w:after="0"/>
              <w:rPr>
                <w:sz w:val="18"/>
                <w:szCs w:val="18"/>
                <w:color w:val="auto"/>
              </w:rPr>
            </w:pPr>
          </w:p>
        </w:tc>
      </w:tr>
      <w:tr>
        <w:trPr>
          <w:trHeight w:val="215"/>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in corporate joint ventures</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(87,950 )</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(538,104 )</w:t>
            </w:r>
          </w:p>
        </w:tc>
      </w:tr>
      <w:tr>
        <w:trPr>
          <w:trHeight w:val="215"/>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received from corporate joint ventures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1,470,508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1,222,312</w:t>
            </w:r>
          </w:p>
        </w:tc>
        <w:tc>
          <w:tcPr>
            <w:tcW w:w="140" w:type="dxa"/>
            <w:vAlign w:val="bottom"/>
          </w:tcPr>
          <w:p>
            <w:pPr>
              <w:spacing w:after="0"/>
              <w:rPr>
                <w:sz w:val="18"/>
                <w:szCs w:val="18"/>
                <w:color w:val="auto"/>
              </w:rPr>
            </w:pPr>
          </w:p>
        </w:tc>
      </w:tr>
      <w:tr>
        <w:trPr>
          <w:trHeight w:val="215"/>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 of industrial chemical corporate joint ventures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made</w:t>
            </w:r>
          </w:p>
        </w:tc>
        <w:tc>
          <w:tcPr>
            <w:tcW w:w="200" w:type="dxa"/>
            <w:vAlign w:val="bottom"/>
          </w:tcPr>
          <w:p>
            <w:pPr>
              <w:spacing w:after="0"/>
              <w:rPr>
                <w:sz w:val="18"/>
                <w:szCs w:val="18"/>
                <w:color w:val="auto"/>
              </w:rPr>
            </w:pPr>
          </w:p>
        </w:tc>
        <w:tc>
          <w:tcPr>
            <w:tcW w:w="17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(140,000 )</w:t>
            </w:r>
          </w:p>
        </w:tc>
        <w:tc>
          <w:tcPr>
            <w:tcW w:w="220" w:type="dxa"/>
            <w:vAlign w:val="bottom"/>
          </w:tcPr>
          <w:p>
            <w:pPr>
              <w:spacing w:after="0"/>
              <w:rPr>
                <w:sz w:val="18"/>
                <w:szCs w:val="18"/>
                <w:color w:val="auto"/>
              </w:rPr>
            </w:pPr>
          </w:p>
        </w:tc>
        <w:tc>
          <w:tcPr>
            <w:tcW w:w="166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received from notes receivable</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445,469</w:t>
            </w:r>
          </w:p>
        </w:tc>
        <w:tc>
          <w:tcPr>
            <w:tcW w:w="140" w:type="dxa"/>
            <w:vAlign w:val="bottom"/>
            <w:shd w:val="clear" w:color="auto" w:fill="CCEEFF"/>
          </w:tcPr>
          <w:p>
            <w:pPr>
              <w:spacing w:after="0"/>
              <w:rPr>
                <w:sz w:val="18"/>
                <w:szCs w:val="18"/>
                <w:color w:val="auto"/>
              </w:rPr>
            </w:pPr>
          </w:p>
        </w:tc>
      </w:tr>
      <w:tr>
        <w:trPr>
          <w:trHeight w:val="215"/>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200" w:type="dxa"/>
            <w:vAlign w:val="bottom"/>
          </w:tcPr>
          <w:p>
            <w:pPr>
              <w:spacing w:after="0"/>
              <w:rPr>
                <w:sz w:val="18"/>
                <w:szCs w:val="18"/>
                <w:color w:val="auto"/>
              </w:rPr>
            </w:pPr>
          </w:p>
        </w:tc>
        <w:tc>
          <w:tcPr>
            <w:tcW w:w="17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(164,704 )</w:t>
            </w:r>
          </w:p>
        </w:tc>
        <w:tc>
          <w:tcPr>
            <w:tcW w:w="220" w:type="dxa"/>
            <w:vAlign w:val="bottom"/>
          </w:tcPr>
          <w:p>
            <w:pPr>
              <w:spacing w:after="0"/>
              <w:rPr>
                <w:sz w:val="18"/>
                <w:szCs w:val="18"/>
                <w:color w:val="auto"/>
              </w:rPr>
            </w:pPr>
          </w:p>
        </w:tc>
        <w:tc>
          <w:tcPr>
            <w:tcW w:w="16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(692,347 )</w:t>
            </w:r>
          </w:p>
        </w:tc>
      </w:tr>
      <w:tr>
        <w:trPr>
          <w:trHeight w:val="215"/>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decrease in other assets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(27,772 )</w:t>
            </w:r>
          </w:p>
        </w:tc>
      </w:tr>
      <w:tr>
        <w:trPr>
          <w:trHeight w:val="215"/>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to industrial patents</w:t>
            </w:r>
          </w:p>
        </w:tc>
        <w:tc>
          <w:tcPr>
            <w:tcW w:w="200" w:type="dxa"/>
            <w:vAlign w:val="bottom"/>
          </w:tcPr>
          <w:p>
            <w:pPr>
              <w:spacing w:after="0"/>
              <w:rPr>
                <w:sz w:val="18"/>
                <w:szCs w:val="18"/>
                <w:color w:val="auto"/>
              </w:rPr>
            </w:pPr>
          </w:p>
        </w:tc>
        <w:tc>
          <w:tcPr>
            <w:tcW w:w="17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(57,382 )</w:t>
            </w:r>
          </w:p>
        </w:tc>
        <w:tc>
          <w:tcPr>
            <w:tcW w:w="220" w:type="dxa"/>
            <w:vAlign w:val="bottom"/>
          </w:tcPr>
          <w:p>
            <w:pPr>
              <w:spacing w:after="0"/>
              <w:rPr>
                <w:sz w:val="18"/>
                <w:szCs w:val="18"/>
                <w:color w:val="auto"/>
              </w:rPr>
            </w:pPr>
          </w:p>
        </w:tc>
        <w:tc>
          <w:tcPr>
            <w:tcW w:w="16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(58,535 )</w:t>
            </w:r>
          </w:p>
        </w:tc>
      </w:tr>
      <w:tr>
        <w:trPr>
          <w:trHeight w:val="209"/>
        </w:trPr>
        <w:tc>
          <w:tcPr>
            <w:tcW w:w="762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1,398,107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1,201,390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5"/>
        </w:trPr>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5"/>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borrowings made on line of credit (repayments)</w:t>
            </w:r>
          </w:p>
        </w:tc>
        <w:tc>
          <w:tcPr>
            <w:tcW w:w="200" w:type="dxa"/>
            <w:vAlign w:val="bottom"/>
          </w:tcPr>
          <w:p>
            <w:pPr>
              <w:spacing w:after="0"/>
              <w:rPr>
                <w:sz w:val="18"/>
                <w:szCs w:val="18"/>
                <w:color w:val="auto"/>
              </w:rPr>
            </w:pPr>
          </w:p>
        </w:tc>
        <w:tc>
          <w:tcPr>
            <w:tcW w:w="17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178,000</w:t>
            </w:r>
          </w:p>
        </w:tc>
        <w:tc>
          <w:tcPr>
            <w:tcW w:w="140" w:type="dxa"/>
            <w:vAlign w:val="bottom"/>
          </w:tcPr>
          <w:p>
            <w:pPr>
              <w:spacing w:after="0"/>
              <w:rPr>
                <w:sz w:val="18"/>
                <w:szCs w:val="18"/>
                <w:color w:val="auto"/>
              </w:rPr>
            </w:pPr>
          </w:p>
        </w:tc>
      </w:tr>
      <w:tr>
        <w:trPr>
          <w:trHeight w:val="215"/>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Repayment of note payable</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(14,083 )</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(12,955 )</w:t>
            </w:r>
          </w:p>
        </w:tc>
      </w:tr>
      <w:tr>
        <w:trPr>
          <w:trHeight w:val="215"/>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00" w:type="dxa"/>
            <w:vAlign w:val="bottom"/>
          </w:tcPr>
          <w:p>
            <w:pPr>
              <w:spacing w:after="0"/>
              <w:rPr>
                <w:sz w:val="18"/>
                <w:szCs w:val="18"/>
                <w:color w:val="auto"/>
              </w:rPr>
            </w:pPr>
          </w:p>
        </w:tc>
        <w:tc>
          <w:tcPr>
            <w:tcW w:w="17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104,772</w:t>
            </w:r>
          </w:p>
        </w:tc>
        <w:tc>
          <w:tcPr>
            <w:tcW w:w="140" w:type="dxa"/>
            <w:vAlign w:val="bottom"/>
          </w:tcPr>
          <w:p>
            <w:pPr>
              <w:spacing w:after="0"/>
              <w:rPr>
                <w:sz w:val="18"/>
                <w:szCs w:val="18"/>
                <w:color w:val="auto"/>
              </w:rPr>
            </w:pPr>
          </w:p>
        </w:tc>
      </w:tr>
      <w:tr>
        <w:trPr>
          <w:trHeight w:val="215"/>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 overdrafts</w:t>
            </w:r>
          </w:p>
        </w:tc>
        <w:tc>
          <w:tcPr>
            <w:tcW w:w="200" w:type="dxa"/>
            <w:vAlign w:val="bottom"/>
          </w:tcPr>
          <w:p>
            <w:pPr>
              <w:spacing w:after="0"/>
              <w:rPr>
                <w:sz w:val="18"/>
                <w:szCs w:val="18"/>
                <w:color w:val="auto"/>
              </w:rPr>
            </w:pPr>
          </w:p>
        </w:tc>
        <w:tc>
          <w:tcPr>
            <w:tcW w:w="17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(158,147 )</w:t>
            </w:r>
          </w:p>
        </w:tc>
      </w:tr>
      <w:tr>
        <w:trPr>
          <w:trHeight w:val="209"/>
        </w:trPr>
        <w:tc>
          <w:tcPr>
            <w:tcW w:w="762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111,670</w:t>
            </w:r>
          </w:p>
        </w:tc>
        <w:tc>
          <w:tcPr>
            <w:tcW w:w="140" w:type="dxa"/>
            <w:vAlign w:val="bottom"/>
            <w:tcBorders>
              <w:top w:val="single" w:sz="8" w:color="CCEEFF"/>
            </w:tcBorders>
            <w:shd w:val="clear" w:color="auto" w:fill="CCEEFF"/>
          </w:tcPr>
          <w:p>
            <w:pPr>
              <w:spacing w:after="0"/>
              <w:rPr>
                <w:sz w:val="18"/>
                <w:szCs w:val="18"/>
                <w:color w:val="auto"/>
              </w:rPr>
            </w:pPr>
          </w:p>
        </w:tc>
      </w:tr>
      <w:tr>
        <w:trPr>
          <w:trHeight w:val="209"/>
        </w:trPr>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216,662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(58,563 )</w:t>
            </w:r>
          </w:p>
        </w:tc>
      </w:tr>
      <w:tr>
        <w:trPr>
          <w:trHeight w:val="215"/>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244,499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299,117</w:t>
            </w:r>
          </w:p>
        </w:tc>
        <w:tc>
          <w:tcPr>
            <w:tcW w:w="140" w:type="dxa"/>
            <w:vAlign w:val="bottom"/>
            <w:tcBorders>
              <w:bottom w:val="single" w:sz="8" w:color="CCEEFF"/>
            </w:tcBorders>
          </w:tcPr>
          <w:p>
            <w:pPr>
              <w:spacing w:after="0"/>
              <w:rPr>
                <w:sz w:val="18"/>
                <w:szCs w:val="18"/>
                <w:color w:val="auto"/>
              </w:rPr>
            </w:pPr>
          </w:p>
        </w:tc>
      </w:tr>
      <w:tr>
        <w:trPr>
          <w:trHeight w:val="209"/>
        </w:trPr>
        <w:tc>
          <w:tcPr>
            <w:tcW w:w="7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2"/>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461,161</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240,554</w:t>
            </w:r>
          </w:p>
        </w:tc>
        <w:tc>
          <w:tcPr>
            <w:tcW w:w="140" w:type="dxa"/>
            <w:vAlign w:val="bottom"/>
          </w:tcPr>
          <w:p>
            <w:pPr>
              <w:spacing w:after="0"/>
              <w:rPr>
                <w:sz w:val="19"/>
                <w:szCs w:val="19"/>
                <w:color w:val="auto"/>
              </w:rPr>
            </w:pPr>
          </w:p>
        </w:tc>
      </w:tr>
      <w:tr>
        <w:trPr>
          <w:trHeight w:val="431"/>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140" w:right="239" w:bottom="0" w:gutter="0" w:footer="0" w:header="0"/>
        </w:sectPr>
      </w:pPr>
    </w:p>
    <w:bookmarkStart w:id="4" w:name="page5"/>
    <w:bookmarkEnd w:id="4"/>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140"/>
        <w:spacing w:after="0" w:line="285"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NOTES TO CONSOLIDATED FINANCIAL STATEMENTS (Unaudited)</w:t>
      </w:r>
    </w:p>
    <w:p>
      <w:pPr>
        <w:spacing w:after="0" w:line="154"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INTERIM FINANCIAL INFORMATION</w:t>
      </w:r>
    </w:p>
    <w:p>
      <w:pPr>
        <w:spacing w:after="0" w:line="22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February 29, 2008 and the results of their operations for the three and six months ended February 29, 2008 and February 28, 2007 and their cash flows for the six months ended February 29, 2008 and February 28, 2007, in conformity with accounting principles generally accepted in the United States of America.</w:t>
      </w:r>
    </w:p>
    <w:p>
      <w:pPr>
        <w:spacing w:after="0" w:line="18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consolidated financial statements and related notes contained in the Company’s annual report on Form 10-KSB for the fiscal year ended August 31, 2007 and with the Management’s Discussion and Analysis or Plan of Operation section appearing in this quarterly report. Operating results for the three and six months ended February 29, 2008 are not necessarily indicative of the results that may be expected for the full fiscal year ending August 31, 2008.</w:t>
      </w:r>
    </w:p>
    <w:p>
      <w:pPr>
        <w:spacing w:after="0" w:line="176"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Effective September 1, 2007, we adopted the provisions of the FASB Interpretation 48, “</w:t>
      </w:r>
      <w:r>
        <w:rPr>
          <w:rFonts w:ascii="Times New Roman" w:cs="Times New Roman" w:eastAsia="Times New Roman" w:hAnsi="Times New Roman"/>
          <w:sz w:val="18"/>
          <w:szCs w:val="18"/>
          <w:i w:val="1"/>
          <w:iCs w:val="1"/>
          <w:color w:val="auto"/>
        </w:rPr>
        <w:t>Accounting for Uncertainty in Income Taxes — an interpretation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FASB Statement 109</w:t>
      </w:r>
      <w:r>
        <w:rPr>
          <w:rFonts w:ascii="Times New Roman" w:cs="Times New Roman" w:eastAsia="Times New Roman" w:hAnsi="Times New Roman"/>
          <w:sz w:val="18"/>
          <w:szCs w:val="18"/>
          <w:color w:val="auto"/>
        </w:rPr>
        <w:t>” (“FIN 48”). FIN 48 clarifies the accounting for uncertainty in income taxes recognized in an entity’s financial statements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SFAS No. 109 and prescribes a recognition threshold and measurement attribute for financial statement disclosure of tax positions taken or expected to be taken in a tax return. Under FIN 48, the impact of an uncertain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subsequent derecognition of tax positions, financial statement classification, recognition of interest and penalties, accounting in interim periods and disclosure and transition rules. The adoption of FIN 48 did not have a material impact on our financial condition, results of operations or cash flows.</w:t>
      </w:r>
    </w:p>
    <w:p>
      <w:pPr>
        <w:spacing w:after="0" w:line="18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As of August 31, 2007, we had $75,000 of unrecognized tax benefits. If recognized, $75,000 would have an impact on our effective tax rate. During the six months ended February 29, 2008, the unrecognized tax benefits have not increased or decreased materially. It is expected that the amount of unrecognized tax benefits will change in the next 12 months; however we cannot reasonably estimate that change.</w:t>
      </w:r>
    </w:p>
    <w:p>
      <w:pPr>
        <w:spacing w:after="0" w:line="17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as a component of our income tax provision. This policy will not change as a result of the adoption of FIN 48. As of September 1, 2007, we recorded a liability of $11,300 for interest and penalties. The liability for the payment of interest and penalties did not materially change during the six months ended February 29, 2008.</w:t>
      </w:r>
    </w:p>
    <w:p>
      <w:pPr>
        <w:spacing w:after="0" w:line="17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We operate in multiple tax jurisdictions, both within the United States and outside the United States. With certain exceptions, we are no longer subject to examination for tax years prior to 2004. Our tax filings for the years August 31, 2004 and August 31, 2005 were examined by the Internal Revenue Service. The examination has been concluded with the exception of the payroll tax issue discussed within Note 9 to these consolidated financial statements entitled “Commitments and Contingencies.”</w:t>
      </w:r>
    </w:p>
    <w:p>
      <w:pPr>
        <w:spacing w:after="0" w:line="17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In March 2008, the Financial Accounting Standards Board (FASB) issued Statement No. 161, </w:t>
      </w:r>
      <w:r>
        <w:rPr>
          <w:rFonts w:ascii="Times New Roman" w:cs="Times New Roman" w:eastAsia="Times New Roman" w:hAnsi="Times New Roman"/>
          <w:sz w:val="18"/>
          <w:szCs w:val="18"/>
          <w:i w:val="1"/>
          <w:iCs w:val="1"/>
          <w:color w:val="auto"/>
        </w:rPr>
        <w:t>Disclosures about Derivative Instruments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Activities</w:t>
      </w:r>
      <w:r>
        <w:rPr>
          <w:rFonts w:ascii="Times New Roman" w:cs="Times New Roman" w:eastAsia="Times New Roman" w:hAnsi="Times New Roman"/>
          <w:sz w:val="18"/>
          <w:szCs w:val="18"/>
          <w:color w:val="auto"/>
        </w:rPr>
        <w:t>. SFAS 161 requires additional disclosures related to the use of derivative instruments, the accounting for derivatives and how derivatives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SFAS No. 161 is effective for fiscal years and interim periods beginning after November 15, 2008. The Company does not expect the adoption of SFAS 161 to have a material effect on the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57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31"/>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39"/>
        </w:trPr>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February 29,</w:t>
            </w:r>
          </w:p>
        </w:tc>
        <w:tc>
          <w:tcPr>
            <w:tcW w:w="340" w:type="dxa"/>
            <w:vAlign w:val="bottom"/>
          </w:tcPr>
          <w:p>
            <w:pPr>
              <w:spacing w:after="0"/>
              <w:rPr>
                <w:sz w:val="24"/>
                <w:szCs w:val="24"/>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August 31,</w:t>
            </w:r>
          </w:p>
        </w:tc>
      </w:tr>
      <w:tr>
        <w:trPr>
          <w:trHeight w:val="173"/>
        </w:trPr>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2008</w:t>
            </w:r>
          </w:p>
        </w:tc>
        <w:tc>
          <w:tcPr>
            <w:tcW w:w="2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2007</w:t>
            </w:r>
          </w:p>
        </w:tc>
        <w:tc>
          <w:tcPr>
            <w:tcW w:w="260" w:type="dxa"/>
            <w:vAlign w:val="bottom"/>
            <w:tcBorders>
              <w:bottom w:val="single" w:sz="8" w:color="CCEEFF"/>
            </w:tcBorders>
          </w:tcPr>
          <w:p>
            <w:pPr>
              <w:spacing w:after="0"/>
              <w:rPr>
                <w:sz w:val="15"/>
                <w:szCs w:val="15"/>
                <w:color w:val="auto"/>
              </w:rPr>
            </w:pPr>
          </w:p>
        </w:tc>
      </w:tr>
      <w:tr>
        <w:trPr>
          <w:trHeight w:val="209"/>
        </w:trPr>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materials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352,128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183,658</w:t>
            </w:r>
          </w:p>
        </w:tc>
        <w:tc>
          <w:tcPr>
            <w:tcW w:w="260" w:type="dxa"/>
            <w:vAlign w:val="bottom"/>
            <w:shd w:val="clear" w:color="auto" w:fill="CCEEFF"/>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1,424,224</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1,452,415</w:t>
            </w:r>
          </w:p>
        </w:tc>
        <w:tc>
          <w:tcPr>
            <w:tcW w:w="260" w:type="dxa"/>
            <w:vAlign w:val="bottom"/>
            <w:tcBorders>
              <w:bottom w:val="single" w:sz="8" w:color="CCEEFF"/>
            </w:tcBorders>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1,776,352</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1,636,073</w:t>
            </w:r>
          </w:p>
        </w:tc>
        <w:tc>
          <w:tcPr>
            <w:tcW w:w="260" w:type="dxa"/>
            <w:vAlign w:val="bottom"/>
            <w:tcBorders>
              <w:bottom w:val="single" w:sz="8" w:color="CCEEFF"/>
            </w:tcBorders>
            <w:shd w:val="clear" w:color="auto" w:fill="CCEEFF"/>
          </w:tcPr>
          <w:p>
            <w:pPr>
              <w:spacing w:after="0"/>
              <w:rPr>
                <w:sz w:val="18"/>
                <w:szCs w:val="18"/>
                <w:color w:val="auto"/>
              </w:rPr>
            </w:pPr>
          </w:p>
        </w:tc>
      </w:tr>
    </w:tbl>
    <w:p>
      <w:pPr>
        <w:spacing w:after="0" w:line="193" w:lineRule="exact"/>
        <w:rPr>
          <w:sz w:val="20"/>
          <w:szCs w:val="20"/>
          <w:color w:val="auto"/>
        </w:rPr>
      </w:pPr>
    </w:p>
    <w:p>
      <w:pPr>
        <w:ind w:left="540" w:hanging="532"/>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CORPORATE JOINT VENTURES</w:t>
      </w:r>
    </w:p>
    <w:p>
      <w:pPr>
        <w:spacing w:after="0" w:line="228" w:lineRule="exact"/>
        <w:rPr>
          <w:sz w:val="20"/>
          <w:szCs w:val="20"/>
          <w:color w:val="auto"/>
        </w:rPr>
      </w:pPr>
    </w:p>
    <w:p>
      <w:pPr>
        <w:ind w:right="860"/>
        <w:spacing w:after="0" w:line="280" w:lineRule="auto"/>
        <w:rPr>
          <w:sz w:val="20"/>
          <w:szCs w:val="20"/>
          <w:color w:val="auto"/>
        </w:rPr>
      </w:pPr>
      <w:r>
        <w:rPr>
          <w:rFonts w:ascii="Times New Roman" w:cs="Times New Roman" w:eastAsia="Times New Roman" w:hAnsi="Times New Roman"/>
          <w:sz w:val="18"/>
          <w:szCs w:val="18"/>
          <w:color w:val="auto"/>
        </w:rPr>
        <w:t>Composite financial information from the audited and unaudited financial statements of the Company’s joint ventures carried on the equity basis is summarized as follows:</w:t>
      </w:r>
    </w:p>
    <w:p>
      <w:pPr>
        <w:spacing w:after="0" w:line="14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29,</w:t>
            </w:r>
          </w:p>
        </w:tc>
        <w:tc>
          <w:tcPr>
            <w:tcW w:w="240" w:type="dxa"/>
            <w:vAlign w:val="bottom"/>
          </w:tcPr>
          <w:p>
            <w:pPr>
              <w:spacing w:after="0"/>
              <w:rPr>
                <w:sz w:val="13"/>
                <w:szCs w:val="13"/>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August 31,</w:t>
            </w:r>
          </w:p>
        </w:tc>
      </w:tr>
      <w:tr>
        <w:trPr>
          <w:trHeight w:val="173"/>
        </w:trPr>
        <w:tc>
          <w:tcPr>
            <w:tcW w:w="73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2008</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0" w:type="dxa"/>
            <w:vAlign w:val="bottom"/>
            <w:tcBorders>
              <w:bottom w:val="single" w:sz="8" w:color="CCEEFF"/>
            </w:tcBorders>
          </w:tcPr>
          <w:p>
            <w:pPr>
              <w:spacing w:after="0"/>
              <w:rPr>
                <w:sz w:val="15"/>
                <w:szCs w:val="15"/>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46,506,829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42,767,569</w:t>
            </w:r>
          </w:p>
        </w:tc>
        <w:tc>
          <w:tcPr>
            <w:tcW w:w="200" w:type="dxa"/>
            <w:vAlign w:val="bottom"/>
            <w:shd w:val="clear" w:color="auto" w:fill="CCEEFF"/>
          </w:tcPr>
          <w:p>
            <w:pPr>
              <w:spacing w:after="0"/>
              <w:rPr>
                <w:sz w:val="18"/>
                <w:szCs w:val="18"/>
                <w:color w:val="auto"/>
              </w:rPr>
            </w:pPr>
          </w:p>
        </w:tc>
      </w:tr>
      <w:tr>
        <w:trPr>
          <w:trHeight w:val="215"/>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54,161,591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49,312,491</w:t>
            </w:r>
          </w:p>
        </w:tc>
        <w:tc>
          <w:tcPr>
            <w:tcW w:w="200" w:type="dxa"/>
            <w:vAlign w:val="bottom"/>
          </w:tcPr>
          <w:p>
            <w:pPr>
              <w:spacing w:after="0"/>
              <w:rPr>
                <w:sz w:val="18"/>
                <w:szCs w:val="18"/>
                <w:color w:val="auto"/>
              </w:rPr>
            </w:pPr>
          </w:p>
        </w:tc>
      </w:tr>
      <w:tr>
        <w:trPr>
          <w:trHeight w:val="21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17,160,559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14,939,496</w:t>
            </w:r>
          </w:p>
        </w:tc>
        <w:tc>
          <w:tcPr>
            <w:tcW w:w="200" w:type="dxa"/>
            <w:vAlign w:val="bottom"/>
            <w:shd w:val="clear" w:color="auto" w:fill="CCEEFF"/>
          </w:tcPr>
          <w:p>
            <w:pPr>
              <w:spacing w:after="0"/>
              <w:rPr>
                <w:sz w:val="18"/>
                <w:szCs w:val="18"/>
                <w:color w:val="auto"/>
              </w:rPr>
            </w:pPr>
          </w:p>
        </w:tc>
      </w:tr>
      <w:tr>
        <w:trPr>
          <w:trHeight w:val="215"/>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4,890,820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4,971,199</w:t>
            </w:r>
          </w:p>
        </w:tc>
        <w:tc>
          <w:tcPr>
            <w:tcW w:w="200" w:type="dxa"/>
            <w:vAlign w:val="bottom"/>
          </w:tcPr>
          <w:p>
            <w:pPr>
              <w:spacing w:after="0"/>
              <w:rPr>
                <w:sz w:val="18"/>
                <w:szCs w:val="18"/>
                <w:color w:val="auto"/>
              </w:rPr>
            </w:pPr>
          </w:p>
        </w:tc>
      </w:tr>
      <w:tr>
        <w:trPr>
          <w:trHeight w:val="21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Joint ventures’ equity</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32,110,212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29,401,796</w:t>
            </w:r>
          </w:p>
        </w:tc>
        <w:tc>
          <w:tcPr>
            <w:tcW w:w="200" w:type="dxa"/>
            <w:vAlign w:val="bottom"/>
            <w:shd w:val="clear" w:color="auto" w:fill="CCEEFF"/>
          </w:tcPr>
          <w:p>
            <w:pPr>
              <w:spacing w:after="0"/>
              <w:rPr>
                <w:sz w:val="18"/>
                <w:szCs w:val="18"/>
                <w:color w:val="auto"/>
              </w:rPr>
            </w:pPr>
          </w:p>
        </w:tc>
      </w:tr>
    </w:tbl>
    <w:p>
      <w:pPr>
        <w:sectPr>
          <w:pgSz w:w="11900" w:h="16853" w:orient="portrait"/>
          <w:cols w:equalWidth="0" w:num="1">
            <w:col w:w="11400"/>
          </w:cols>
          <w:pgMar w:left="240" w:top="121" w:right="259" w:bottom="0" w:gutter="0" w:footer="0" w:header="0"/>
        </w:sectPr>
      </w:pPr>
    </w:p>
    <w:bookmarkStart w:id="5" w:name="page6"/>
    <w:bookmarkEnd w:id="5"/>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Northern Technologies International Corporation’s share of Corporate Joint Ventures’ equity</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15,209,786</w:t>
            </w:r>
          </w:p>
        </w:tc>
        <w:tc>
          <w:tcPr>
            <w:tcW w:w="2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13,602,842</w:t>
            </w:r>
          </w:p>
        </w:tc>
        <w:tc>
          <w:tcPr>
            <w:tcW w:w="180" w:type="dxa"/>
            <w:vAlign w:val="bottom"/>
          </w:tcPr>
          <w:p>
            <w:pPr>
              <w:spacing w:after="0"/>
              <w:rPr>
                <w:sz w:val="20"/>
                <w:szCs w:val="20"/>
                <w:color w:val="auto"/>
              </w:rPr>
            </w:pPr>
          </w:p>
        </w:tc>
      </w:tr>
      <w:tr>
        <w:trPr>
          <w:trHeight w:val="339"/>
        </w:trPr>
        <w:tc>
          <w:tcPr>
            <w:tcW w:w="7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29,</w:t>
            </w:r>
          </w:p>
        </w:tc>
        <w:tc>
          <w:tcPr>
            <w:tcW w:w="22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28,</w:t>
            </w:r>
          </w:p>
        </w:tc>
      </w:tr>
      <w:tr>
        <w:trPr>
          <w:trHeight w:val="173"/>
        </w:trPr>
        <w:tc>
          <w:tcPr>
            <w:tcW w:w="72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2007</w:t>
            </w:r>
          </w:p>
        </w:tc>
        <w:tc>
          <w:tcPr>
            <w:tcW w:w="180" w:type="dxa"/>
            <w:vAlign w:val="bottom"/>
            <w:tcBorders>
              <w:bottom w:val="single" w:sz="8" w:color="CCEEFF"/>
            </w:tcBorders>
          </w:tcPr>
          <w:p>
            <w:pPr>
              <w:spacing w:after="0"/>
              <w:rPr>
                <w:sz w:val="15"/>
                <w:szCs w:val="15"/>
                <w:color w:val="auto"/>
              </w:rPr>
            </w:pPr>
          </w:p>
        </w:tc>
      </w:tr>
      <w:tr>
        <w:trPr>
          <w:trHeight w:val="20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49,091,121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39,272,049</w:t>
            </w:r>
          </w:p>
        </w:tc>
        <w:tc>
          <w:tcPr>
            <w:tcW w:w="180" w:type="dxa"/>
            <w:vAlign w:val="bottom"/>
            <w:shd w:val="clear" w:color="auto" w:fill="CCEEFF"/>
          </w:tcPr>
          <w:p>
            <w:pPr>
              <w:spacing w:after="0"/>
              <w:rPr>
                <w:sz w:val="18"/>
                <w:szCs w:val="18"/>
                <w:color w:val="auto"/>
              </w:rPr>
            </w:pPr>
          </w:p>
        </w:tc>
      </w:tr>
      <w:tr>
        <w:trPr>
          <w:trHeight w:val="215"/>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22,542,934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18,925,025</w:t>
            </w:r>
          </w:p>
        </w:tc>
        <w:tc>
          <w:tcPr>
            <w:tcW w:w="180" w:type="dxa"/>
            <w:vAlign w:val="bottom"/>
          </w:tcPr>
          <w:p>
            <w:pPr>
              <w:spacing w:after="0"/>
              <w:rPr>
                <w:sz w:val="18"/>
                <w:szCs w:val="18"/>
                <w:color w:val="auto"/>
              </w:rPr>
            </w:pPr>
          </w:p>
        </w:tc>
      </w:tr>
      <w:tr>
        <w:trPr>
          <w:trHeight w:val="215"/>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3,259,635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3,133,779</w:t>
            </w:r>
          </w:p>
        </w:tc>
        <w:tc>
          <w:tcPr>
            <w:tcW w:w="180" w:type="dxa"/>
            <w:vAlign w:val="bottom"/>
            <w:shd w:val="clear" w:color="auto" w:fill="CCEEFF"/>
          </w:tcPr>
          <w:p>
            <w:pPr>
              <w:spacing w:after="0"/>
              <w:rPr>
                <w:sz w:val="18"/>
                <w:szCs w:val="18"/>
                <w:color w:val="auto"/>
              </w:rPr>
            </w:pPr>
          </w:p>
        </w:tc>
      </w:tr>
      <w:tr>
        <w:trPr>
          <w:trHeight w:val="197"/>
        </w:trPr>
        <w:tc>
          <w:tcPr>
            <w:tcW w:w="728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equity in income of Corporate Joint</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Ventures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1,867,856</w:t>
            </w: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1,629,734</w:t>
            </w:r>
          </w:p>
        </w:tc>
        <w:tc>
          <w:tcPr>
            <w:tcW w:w="180" w:type="dxa"/>
            <w:vAlign w:val="bottom"/>
          </w:tcPr>
          <w:p>
            <w:pPr>
              <w:spacing w:after="0"/>
              <w:rPr>
                <w:sz w:val="20"/>
                <w:szCs w:val="20"/>
                <w:color w:val="auto"/>
              </w:rPr>
            </w:pPr>
          </w:p>
        </w:tc>
      </w:tr>
    </w:tbl>
    <w:p>
      <w:pPr>
        <w:spacing w:after="0" w:line="197" w:lineRule="exact"/>
        <w:rPr>
          <w:sz w:val="20"/>
          <w:szCs w:val="20"/>
          <w:color w:val="auto"/>
        </w:rPr>
      </w:pPr>
    </w:p>
    <w:p>
      <w:pPr>
        <w:jc w:val="both"/>
        <w:ind w:right="800"/>
        <w:spacing w:after="0" w:line="265" w:lineRule="auto"/>
        <w:rPr>
          <w:sz w:val="20"/>
          <w:szCs w:val="20"/>
          <w:color w:val="auto"/>
        </w:rPr>
      </w:pPr>
      <w:r>
        <w:rPr>
          <w:rFonts w:ascii="Times New Roman" w:cs="Times New Roman" w:eastAsia="Times New Roman" w:hAnsi="Times New Roman"/>
          <w:sz w:val="18"/>
          <w:szCs w:val="18"/>
          <w:color w:val="auto"/>
        </w:rPr>
        <w:t>The financial statements of the Company’s foreign joint ventures are prepared using accounting principles accepted in the joint ventures’ country of domicile. Amounts related to foreign joint ventures reported in the above tables and the accompanying financial statements have been adjusted to approximate US GAAP in all material respects.</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During the six months ended February 29, 2008, the Company invested $87,950 in a non-industrial chemical joint venture in Thailand in addition to $143,000 previously invested in December 2006. The Company has a 50% ownership interest in the joint venture entity. The joint venture entity had no operations prior to the Company’s investment in December 2006. The total contributions made by both owners of the joint venture were $461,900 as of February 29, 2008.</w:t>
      </w:r>
    </w:p>
    <w:p>
      <w:pPr>
        <w:spacing w:after="0" w:line="176"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18"/>
          <w:szCs w:val="18"/>
          <w:color w:val="auto"/>
        </w:rPr>
        <w:t>During the six months ended February 29, 2008, the Company sold its 50% interest in its industrial chemical joint venture in Austria for $364,000. The Company’s industrial chemical joint venture in Germany</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color w:val="auto"/>
        </w:rPr>
        <w:t>purchased the joint venture and has consolidated it into its existing business. The Company recorded a gain on the sale of $172,767, as the Company has determined its interest in the entity was non-controlling under EITP 02-05.</w:t>
      </w:r>
    </w:p>
    <w:p>
      <w:pPr>
        <w:spacing w:after="0" w:line="159"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During the six months ended February 29, 2008, the Company did not purchase or retire any shares of its common stock and no stock options to purchase shares of the Company’s common stock were exercised. The Company granted stock bonuses under the Northern Technologies International Corporation 2007 Stock Incentive Plan for an aggregate of 33,595 shares of its common stock to various employees during the six months ended February 29, 2008. The fair value of the shares of the Company’s common stock as of the date of grant of the stock bonuses was $334,270, based on the closing sale price of a share of the Company’s common stock on that date.</w:t>
      </w:r>
    </w:p>
    <w:p>
      <w:pPr>
        <w:spacing w:after="0" w:line="184"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During the six months ended February 28, 2007, the Company did not purchase or retire any shares of its common stock and no stock options were exercised. The Company granted stock bonuses under the Northern Technologies International Corporation 2000 Stock Incentive Plan for an aggregate of 37,245 shares of its common stock to various employees during the six months ended February 28, 2007. The fair value of the shares of the Company’s common stock as of the date of grant of the stock bonuses was $298,330, based on the closing sale price of a share of the Company’s common stock on that date.</w:t>
      </w:r>
    </w:p>
    <w:p>
      <w:pPr>
        <w:sectPr>
          <w:pgSz w:w="11900" w:h="16838" w:orient="portrait"/>
          <w:cols w:equalWidth="0" w:num="1">
            <w:col w:w="11420"/>
          </w:cols>
          <w:pgMar w:left="240" w:top="121" w:right="239" w:bottom="0" w:gutter="0" w:footer="0" w:header="0"/>
        </w:sectPr>
      </w:pPr>
    </w:p>
    <w:p>
      <w:pPr>
        <w:spacing w:after="0" w:line="176"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TOTAL COMPREHENSIVE INCOME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total comprehensive income was as follows: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ind w:left="200" w:right="120" w:hanging="178"/>
        <w:spacing w:after="0" w:line="257" w:lineRule="auto"/>
        <w:rPr>
          <w:sz w:val="20"/>
          <w:szCs w:val="20"/>
          <w:color w:val="auto"/>
        </w:rPr>
      </w:pPr>
      <w:r>
        <w:rPr>
          <w:rFonts w:ascii="Times New Roman" w:cs="Times New Roman" w:eastAsia="Times New Roman" w:hAnsi="Times New Roman"/>
          <w:sz w:val="18"/>
          <w:szCs w:val="18"/>
          <w:color w:val="auto"/>
        </w:rPr>
        <w:t>Other comprehensive (loss) income — foreign currency translation adjustment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p>
      <w:pPr>
        <w:spacing w:after="0" w:line="242"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COMMON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272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250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1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ind w:left="60"/>
              <w:spacing w:after="0" w:line="117" w:lineRule="exact"/>
              <w:rPr>
                <w:sz w:val="20"/>
                <w:szCs w:val="20"/>
                <w:color w:val="auto"/>
              </w:rPr>
            </w:pPr>
            <w:r>
              <w:rPr>
                <w:rFonts w:ascii="Times New Roman" w:cs="Times New Roman" w:eastAsia="Times New Roman" w:hAnsi="Times New Roman"/>
                <w:sz w:val="13"/>
                <w:szCs w:val="13"/>
                <w:b w:val="1"/>
                <w:bCs w:val="1"/>
                <w:color w:val="auto"/>
              </w:rPr>
              <w:t>February 29,</w:t>
            </w: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39"/>
              <w:spacing w:after="0" w:line="117" w:lineRule="exact"/>
              <w:rPr>
                <w:sz w:val="20"/>
                <w:szCs w:val="20"/>
                <w:color w:val="auto"/>
              </w:rPr>
            </w:pPr>
            <w:r>
              <w:rPr>
                <w:rFonts w:ascii="Times New Roman" w:cs="Times New Roman" w:eastAsia="Times New Roman" w:hAnsi="Times New Roman"/>
                <w:sz w:val="13"/>
                <w:szCs w:val="13"/>
                <w:b w:val="1"/>
                <w:bCs w:val="1"/>
                <w:color w:val="auto"/>
              </w:rPr>
              <w:t>February 28,</w:t>
            </w: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ind w:left="60"/>
              <w:spacing w:after="0" w:line="117" w:lineRule="exact"/>
              <w:rPr>
                <w:sz w:val="20"/>
                <w:szCs w:val="20"/>
                <w:color w:val="auto"/>
              </w:rPr>
            </w:pPr>
            <w:r>
              <w:rPr>
                <w:rFonts w:ascii="Times New Roman" w:cs="Times New Roman" w:eastAsia="Times New Roman" w:hAnsi="Times New Roman"/>
                <w:sz w:val="13"/>
                <w:szCs w:val="13"/>
                <w:b w:val="1"/>
                <w:bCs w:val="1"/>
                <w:color w:val="auto"/>
              </w:rPr>
              <w:t>February 29,</w:t>
            </w: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139"/>
              <w:spacing w:after="0" w:line="117" w:lineRule="exact"/>
              <w:rPr>
                <w:sz w:val="20"/>
                <w:szCs w:val="20"/>
                <w:color w:val="auto"/>
              </w:rPr>
            </w:pPr>
            <w:r>
              <w:rPr>
                <w:rFonts w:ascii="Times New Roman" w:cs="Times New Roman" w:eastAsia="Times New Roman" w:hAnsi="Times New Roman"/>
                <w:sz w:val="13"/>
                <w:szCs w:val="13"/>
                <w:b w:val="1"/>
                <w:bCs w:val="1"/>
                <w:color w:val="auto"/>
              </w:rPr>
              <w:t>February 28,</w:t>
            </w:r>
          </w:p>
        </w:tc>
      </w:tr>
      <w:tr>
        <w:trPr>
          <w:trHeight w:val="173"/>
        </w:trPr>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2008</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2007</w:t>
            </w:r>
          </w:p>
        </w:tc>
      </w:tr>
      <w:tr>
        <w:trPr>
          <w:trHeight w:val="22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659,690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448,203</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1,317,886</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1,438,427</w:t>
            </w:r>
          </w:p>
        </w:tc>
      </w:tr>
      <w:tr>
        <w:trPr>
          <w:trHeight w:val="412"/>
        </w:trPr>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431,014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(67,645 )</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1,312,799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303,805</w:t>
            </w:r>
          </w:p>
        </w:tc>
      </w:tr>
      <w:tr>
        <w:trPr>
          <w:trHeight w:val="216"/>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1,090,704</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380,558</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2,630,685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1,742,232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-580390</wp:posOffset>
            </wp:positionV>
            <wp:extent cx="724725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7255" cy="14541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-161925</wp:posOffset>
            </wp:positionV>
            <wp:extent cx="7247255" cy="153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7255" cy="153670"/>
                    </a:xfrm>
                    <a:prstGeom prst="rect">
                      <a:avLst/>
                    </a:prstGeom>
                    <a:noFill/>
                  </pic:spPr>
                </pic:pic>
              </a:graphicData>
            </a:graphic>
          </wp:anchor>
        </w:drawing>
      </w:r>
    </w:p>
    <w:p>
      <w:pPr>
        <w:spacing w:after="0" w:line="599" w:lineRule="exact"/>
        <w:rPr>
          <w:sz w:val="20"/>
          <w:szCs w:val="20"/>
          <w:color w:val="auto"/>
        </w:rPr>
      </w:pPr>
    </w:p>
    <w:p>
      <w:pPr>
        <w:sectPr>
          <w:pgSz w:w="11900" w:h="16838" w:orient="portrait"/>
          <w:cols w:equalWidth="0" w:num="2">
            <w:col w:w="4960" w:space="720"/>
            <w:col w:w="5740"/>
          </w:cols>
          <w:pgMar w:left="240" w:top="121" w:right="239" w:bottom="0" w:gutter="0" w:footer="0" w:header="0"/>
          <w:type w:val="continuous"/>
        </w:sectPr>
      </w:pPr>
    </w:p>
    <w:p>
      <w:pPr>
        <w:spacing w:after="0" w:line="28"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63"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For the six month period ending February 29, 2008, 35,140 options to purchase shares were excluded from common share equivalents due to exercise prices exceeding average market prices. No options to purchase shares of common stock were excluded from the computation of common share equivalents as of February 28, 2007, as all stock option exercise prices were less than the average market price of a share of common stock.</w:t>
      </w:r>
    </w:p>
    <w:p>
      <w:pPr>
        <w:spacing w:after="0" w:line="172"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BASED COMPENSATION</w:t>
      </w:r>
    </w:p>
    <w:p>
      <w:pPr>
        <w:spacing w:after="0" w:line="22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company accounts for stock-based compensation awards in accordance with the provisions of Statement of Financial Accounting Standards (SFAS) No. 123 (Revised 2004), “Share-Based Payment.” During the six months ended February 29, 2008, options were granted with an exercise price equal to the market price of the company’s common stock on the date of grant. The options vest equally over a three year period and have a five year term. Compensation expense equal to the grant date fair value is recognized for these awards over the vesting period. Total compensation expense for options was $47,602 and 60,786 for the six months ended ended February 29, 2008 and February 28, 2007.</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The fair value of each share-based option is estimated on the date of grant using a Black-Scholes valuation method that uses the assumptions noted in the table below. The expected life is a significant assumption as it determines the period for which the risk-free interest rate, volatility, and dividend yield must be applied. The expected life is the average length of time over which the employee is expected to exercise their options. Expected volatilities are based on the</w:t>
      </w:r>
    </w:p>
    <w:p>
      <w:pPr>
        <w:sectPr>
          <w:pgSz w:w="11900" w:h="16838" w:orient="portrait"/>
          <w:cols w:equalWidth="0" w:num="1">
            <w:col w:w="11420"/>
          </w:cols>
          <w:pgMar w:left="240" w:top="121" w:right="239" w:bottom="0" w:gutter="0" w:footer="0" w:header="0"/>
          <w:type w:val="continuous"/>
        </w:sectPr>
      </w:pPr>
    </w:p>
    <w:bookmarkStart w:id="6" w:name="page7"/>
    <w:bookmarkEnd w:id="6"/>
    <w:p>
      <w:pPr>
        <w:spacing w:after="0" w:line="39"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8"/>
          <w:szCs w:val="18"/>
          <w:color w:val="auto"/>
        </w:rPr>
        <w:t>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dividends paid, expected increase in future cash dividends, and expected increase in the company’s stock price. The following table illustrates the assumptions for options granted in the following fiscal periods.</w:t>
      </w:r>
    </w:p>
    <w:p>
      <w:pPr>
        <w:spacing w:after="0" w:line="160"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February 29,</w:t>
            </w: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February 28,</w:t>
            </w:r>
          </w:p>
        </w:tc>
      </w:tr>
      <w:tr>
        <w:trPr>
          <w:trHeight w:val="173"/>
        </w:trPr>
        <w:tc>
          <w:tcPr>
            <w:tcW w:w="432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22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2007</w:t>
            </w:r>
          </w:p>
        </w:tc>
        <w:tc>
          <w:tcPr>
            <w:tcW w:w="240" w:type="dxa"/>
            <w:vAlign w:val="bottom"/>
            <w:tcBorders>
              <w:bottom w:val="single" w:sz="8" w:color="CCEEFF"/>
            </w:tcBorders>
          </w:tcPr>
          <w:p>
            <w:pPr>
              <w:spacing w:after="0"/>
              <w:rPr>
                <w:sz w:val="15"/>
                <w:szCs w:val="15"/>
                <w:color w:val="auto"/>
              </w:rPr>
            </w:pP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240" w:type="dxa"/>
            <w:vAlign w:val="bottom"/>
            <w:shd w:val="clear" w:color="auto" w:fill="CCEEFF"/>
          </w:tcPr>
          <w:p>
            <w:pPr>
              <w:spacing w:after="0"/>
              <w:rPr>
                <w:sz w:val="18"/>
                <w:szCs w:val="18"/>
                <w:color w:val="auto"/>
              </w:rPr>
            </w:pPr>
          </w:p>
        </w:tc>
      </w:tr>
      <w:tr>
        <w:trPr>
          <w:trHeight w:val="215"/>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42.2%</w:t>
            </w:r>
          </w:p>
        </w:tc>
        <w:tc>
          <w:tcPr>
            <w:tcW w:w="2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w:t>
            </w:r>
          </w:p>
        </w:tc>
        <w:tc>
          <w:tcPr>
            <w:tcW w:w="240" w:type="dxa"/>
            <w:vAlign w:val="bottom"/>
          </w:tcPr>
          <w:p>
            <w:pPr>
              <w:spacing w:after="0"/>
              <w:rPr>
                <w:sz w:val="18"/>
                <w:szCs w:val="18"/>
                <w:color w:val="auto"/>
              </w:rPr>
            </w:pPr>
          </w:p>
        </w:tc>
      </w:tr>
      <w:tr>
        <w:trPr>
          <w:trHeight w:val="215"/>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option</w:t>
            </w:r>
          </w:p>
        </w:tc>
        <w:tc>
          <w:tcPr>
            <w:tcW w:w="1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5 years</w:t>
            </w:r>
          </w:p>
        </w:tc>
        <w:tc>
          <w:tcPr>
            <w:tcW w:w="1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3.62%</w:t>
            </w:r>
          </w:p>
        </w:tc>
        <w:tc>
          <w:tcPr>
            <w:tcW w:w="2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4.67%</w:t>
            </w:r>
          </w:p>
        </w:tc>
        <w:tc>
          <w:tcPr>
            <w:tcW w:w="240" w:type="dxa"/>
            <w:vAlign w:val="bottom"/>
          </w:tcPr>
          <w:p>
            <w:pPr>
              <w:spacing w:after="0"/>
              <w:rPr>
                <w:sz w:val="20"/>
                <w:szCs w:val="20"/>
                <w:color w:val="auto"/>
              </w:rPr>
            </w:pPr>
          </w:p>
        </w:tc>
      </w:tr>
    </w:tbl>
    <w:p>
      <w:pPr>
        <w:spacing w:after="0" w:line="178"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color w:val="auto"/>
        </w:rPr>
        <w:t>The weighted-average fair value of options granted during the quarters ended February 29, 2008 and February 28, 2007 was $3.84 per share and $2.95 per share, respectively.</w:t>
      </w:r>
    </w:p>
    <w:p>
      <w:pPr>
        <w:spacing w:after="0" w:line="159" w:lineRule="exact"/>
        <w:rPr>
          <w:sz w:val="20"/>
          <w:szCs w:val="20"/>
          <w:color w:val="auto"/>
        </w:rPr>
      </w:pPr>
    </w:p>
    <w:p>
      <w:pPr>
        <w:ind w:left="540" w:hanging="532"/>
        <w:spacing w:after="0"/>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April 2007, REACT-NTI, LLC (“React LLC”), a company that is 75% owned by the Company, was served with a summons and complaint that was filed by Shamrock Technologies, Inc. (“Shamrock”) in state court in New York. This case has been removed to the Federal District Court for the Southern District of New York. The lawsuit seeks payment from React LLC of commissions in the approximate amount of $314,500 owed by React LLC under a license agreement between React LLC and Shamrock. The complaint alleges breach of the license agreement by React LLC and seeks damages in an unspecified amount for such breach as well as damages of approximately $300,000 for the alleged failure of React LLC to purchase from Shamrock certain inventory manufactured for sale to a customer. React LLC acknowledges that React LLC has not made payment for product in the approximate amount of $300,000 to Shamrock as the invoice for this was only received after Shamrock had already filed its complaint, but denies all of the claims of breach of the license agreement by it and believes that damages caused by Shamrock’s breach of the License Agreement and tortious conduct exceed any amounts owing to Shamrock. React LLC formally responded to the complaint after removal by moving to dismiss or stay because of Shamrock’s failure to comply with alternative dispute resolution procedures contained in the license agreement. By court order, the matter is presently stayed so that the parties can attempt mediation. The parties mediated for one day and were unsuccessful in resolving the matter. It is unclear at this time whether the parties will attempt additional mediation efforts. If mediation is unsuccessful, React LLC will both defend against Shamrock’s allegations and pursue counterclaims against Shamrock for breach of the license agreement and for tortious interference. Because this matter is in the early stage, the Company cannot estimate the possible loss or range of loss, if any, associated with its resolution. However, there can be no assurance that the ultimate resolution of the matter will not result in a material adverse effect on the Company’s business, financial condition or results of operations.</w:t>
      </w:r>
    </w:p>
    <w:p>
      <w:pPr>
        <w:spacing w:after="0" w:line="198"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7"/>
          <w:szCs w:val="17"/>
          <w:color w:val="auto"/>
        </w:rPr>
        <w:t>In February 2007, the Company was named as a defendant in a lawsuit brought by Evelyna Cantwell and Jack Cantwell, individually, and also doing business as the principals of Byrd-Walsh International, LLC, in United States Federal District Court for the Southern District of Florida against the Company and its former Chairman of the Board and Chief Executive Officer and current Chairman Emeritus, Philip M. Lynch. The lawsuit alleges causes of action for breach of contract, breach of implied contract, quasi contract, promissory estoppel, equitable estoppel, negligence, wrongful conversion, fraud, constructive fraud,</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misappropriation and violation of the Uniform Trade Secrets Act. The suit seeks unspecified injunctive relief as well as compensatory and punitive damages in an unspecified amount which, based on the allegations of the complaint, may be claimed by plaintiffs to be in an amount in excess of $45 million. Based on the allegations in the complaint and the Company’s understanding of relevant facts and circumstances, the Company believes that the claims made by the Cantwells and Byrd-Walsh in this lawsuit are without merit and the Company intends to vigorously defend against them. Because this matter is in the early stage, the Company cannot estimate the possible loss or range of loss, if any, associated with its resolution. The amounts claimed in this lawsuit are substantial, however, and, there can be no assurance that the ultimate resolution of the matter will not result in a material adverse effect on the Company’s business, financial condition or results of operations.</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 is involved in a legal action in Finland whereby the Company sued a Finnish company for trademark infringement. Upon initiation of legal action, the courts seized the inventory of the Finnish company as contraband. The Company won the initial case, but has subsequently lost on appeal. The Company is currently appealing the latest court decision. The outcome of the appeal is unknown and any potential loss cannot be estimated at this time; however, the potential judgment or any settlement resulting from the case could have a material impact on the financial position or results of operations of the Company due to claims against the Company related to expiration of inventory seized from the Finnish company. The Company has obtained a $600,000 stand-by letter of credit to potentially fund the Company’s obligations related to the courts in Finland against the defendant’s products that were seized as contraband. Advances made under the demand letter of credit will be made at the sole discretion of National City Bank and will be due and payable on demand. Any outstanding unpaid principal balance under the demand letter of credit bears interest at an annual rate based on LIBOR plus 2.25%. Interest is payable in arrears beginning on January 15, 2007 and on the 15th day of each month thereafter and on demand. Because the Company believes that it has valid legal grounds for appeal, it has determined that a loss is not probable at this time as defined by SFAS 5, “</w:t>
      </w:r>
      <w:r>
        <w:rPr>
          <w:rFonts w:ascii="Times New Roman" w:cs="Times New Roman" w:eastAsia="Times New Roman" w:hAnsi="Times New Roman"/>
          <w:sz w:val="18"/>
          <w:szCs w:val="18"/>
          <w:i w:val="1"/>
          <w:iCs w:val="1"/>
          <w:color w:val="auto"/>
        </w:rPr>
        <w:t>Accounting for Contingencies</w:t>
      </w:r>
      <w:r>
        <w:rPr>
          <w:rFonts w:ascii="Times New Roman" w:cs="Times New Roman" w:eastAsia="Times New Roman" w:hAnsi="Times New Roman"/>
          <w:sz w:val="18"/>
          <w:szCs w:val="18"/>
          <w:color w:val="auto"/>
        </w:rPr>
        <w:t>.” However, there can be no assurance that the ultimate resolution of the matter will not result in a material adverse effect on the Company’s business, financial condition or results of operations.</w:t>
      </w:r>
    </w:p>
    <w:p>
      <w:pPr>
        <w:spacing w:after="0" w:line="191"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8"/>
          <w:szCs w:val="18"/>
          <w:color w:val="auto"/>
        </w:rPr>
        <w:t>The Company is involved in various other legal actions arising in the normal course of business. Management is of the opinion that any judgment or settlement resulting from these pending or threatened actions would not have a material adverse effect on the Company’s business, financial condition or results of operations.</w:t>
      </w:r>
    </w:p>
    <w:p>
      <w:pPr>
        <w:spacing w:after="0" w:line="1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June 2007, the U.S. Internal Revenue Service concluded its audit of the Company’s U.S. federal income tax returns for fiscal 2004 and 2005. As a result of such audit, the Company paid the IRS approximately $25,000 in additional payroll taxes. The Company also agreed in principle with the IRS to adjustments that will result in the additional payment of approximately $60,000 in income tax and interest. As a result of the audit, the IRS has also taken the position that the Company failed to withhold and has assessed against the Company approximately $505,000 of payroll taxes and individual income taxes on travel and other expense reimbursements made to Philip M. Lynch, the Company’s former Chairman of the Board and Chief Executive Officer and current Chairman Emeritus, and commissions payments made to Inter Alia Holding Co. under that certain former Manufacturer’s Representative Agreement dated as of October 1, 1976 and as subsequently amended thereafter between the Company and Inter Alia, which agreement has since been terminated. Inter Alia beneficially owns approximately 24.9% of the Company’s outstanding common stock, and Philip M. Lynch, the Company’s former Chairman of the Board and Chief Executive Officer and current Chairman Emeritus, and G. Patrick Lynch, the Company’s current President and Chief Executive Officer, are shareholders of Inter Alia. The Company disagrees with the IRS’ position on withholding and is in the process of appealing the matter. Because the</w:t>
      </w:r>
    </w:p>
    <w:p>
      <w:pPr>
        <w:sectPr>
          <w:pgSz w:w="11900" w:h="16877" w:orient="portrait"/>
          <w:cols w:equalWidth="0" w:num="1">
            <w:col w:w="11420"/>
          </w:cols>
          <w:pgMar w:left="240" w:top="121" w:right="239" w:bottom="0" w:gutter="0" w:footer="0" w:header="0"/>
        </w:sectPr>
      </w:pPr>
    </w:p>
    <w:bookmarkStart w:id="7" w:name="page8"/>
    <w:bookmarkEnd w:id="7"/>
    <w:p>
      <w:pPr>
        <w:spacing w:after="0" w:line="2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Company believes that it has valid legal grounds for appeal, it has determined that a loss is not probable at this time as defined by SFAS 5, “</w:t>
      </w:r>
      <w:r>
        <w:rPr>
          <w:rFonts w:ascii="Times New Roman" w:cs="Times New Roman" w:eastAsia="Times New Roman" w:hAnsi="Times New Roman"/>
          <w:sz w:val="18"/>
          <w:szCs w:val="18"/>
          <w:i w:val="1"/>
          <w:iCs w:val="1"/>
          <w:color w:val="auto"/>
        </w:rPr>
        <w:t>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However, there can be no assurance that the ultimate resolution of the matter will not result in a material adverse effect on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financial condition or results of operations.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On November 16, 2007, the Company’s Board of Directors, upon recommendation of the Compensation Committee, approved the material terms of an annual bonus plan for executive officers and certain employees of the Company for fiscal year ending August 31, 2008, the purpose of which is to align the interests of the Company and its subsidiaries, executive officers and stockholders by providing an incentive for the achievement of key corporate and individual performance measures that are critical to the success of the Company and linking a significant portion of each executive officer’s annual compensation to the achievement of such measures. The following is a brief summary of the material terms approved by the Board:</w:t>
      </w:r>
    </w:p>
    <w:p>
      <w:pPr>
        <w:spacing w:after="0" w:line="184" w:lineRule="exact"/>
        <w:rPr>
          <w:sz w:val="20"/>
          <w:szCs w:val="20"/>
          <w:color w:val="auto"/>
        </w:rPr>
      </w:pPr>
    </w:p>
    <w:p>
      <w:pPr>
        <w:ind w:left="1300" w:right="560" w:hanging="323"/>
        <w:spacing w:after="0" w:line="280" w:lineRule="auto"/>
        <w:tabs>
          <w:tab w:leader="none" w:pos="12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available under the bonus plan will be up to 25% of the Company’s earnings before interest, taxes and other income (EBITOI) for the fiscal year ending August 31, 2008;</w:t>
      </w:r>
    </w:p>
    <w:p>
      <w:pPr>
        <w:spacing w:after="0" w:line="163" w:lineRule="exact"/>
        <w:rPr>
          <w:rFonts w:ascii="Times New Roman" w:cs="Times New Roman" w:eastAsia="Times New Roman" w:hAnsi="Times New Roman"/>
          <w:sz w:val="18"/>
          <w:szCs w:val="18"/>
          <w:color w:val="auto"/>
        </w:rPr>
      </w:pPr>
    </w:p>
    <w:p>
      <w:pPr>
        <w:ind w:left="1300" w:right="200" w:hanging="323"/>
        <w:spacing w:after="0" w:line="280" w:lineRule="auto"/>
        <w:tabs>
          <w:tab w:leader="none" w:pos="12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available under the bonus plan will be $0 if EBITOI, as adjusted to take into account amounts to be paid under the bonus plan, fall below 70% of target EBITOI; and</w:t>
      </w:r>
    </w:p>
    <w:p>
      <w:pPr>
        <w:spacing w:after="0" w:line="163" w:lineRule="exact"/>
        <w:rPr>
          <w:rFonts w:ascii="Times New Roman" w:cs="Times New Roman" w:eastAsia="Times New Roman" w:hAnsi="Times New Roman"/>
          <w:sz w:val="18"/>
          <w:szCs w:val="18"/>
          <w:color w:val="auto"/>
        </w:rPr>
      </w:pPr>
    </w:p>
    <w:p>
      <w:pPr>
        <w:ind w:left="1300" w:right="140" w:hanging="323"/>
        <w:spacing w:after="0" w:line="265" w:lineRule="auto"/>
        <w:tabs>
          <w:tab w:leader="none" w:pos="12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bonuses under the plan will be made in both cash and shares of the Company’s common stock, the exact amount and percentages of which will be determined by the Board, upon recommendation of the Compensation Committee, within a reasonable period of time after the completion of the Company’s financial statements for the fiscal year ending August 31, 2008.</w:t>
      </w:r>
    </w:p>
    <w:p>
      <w:pPr>
        <w:spacing w:after="0" w:line="17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STATEMENTS OF CASH FLOWS</w:t>
      </w:r>
    </w:p>
    <w:p>
      <w:pPr>
        <w:spacing w:after="0" w:line="228"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The Company did not declare or pay any cash dividends during fiscal 2007 and as of April 11, 2008, had not declared or paid any cash dividends during fiscal 2008.</w:t>
      </w:r>
    </w:p>
    <w:p>
      <w:pPr>
        <w:spacing w:after="0" w:line="163"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color w:val="auto"/>
        </w:rPr>
        <w:t>The Company issued 33,595 and 37,245 shares of common stock as stock bonuses under its stock incentive plans to various employees to satisfy $334,270 and $298,330 of accrued payroll liability during the quarter ended February 29, 2008 and February 28, 2007, respectively.</w:t>
      </w:r>
    </w:p>
    <w:p>
      <w:pPr>
        <w:spacing w:after="0" w:line="159"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28"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7"/>
          <w:szCs w:val="17"/>
          <w:color w:val="auto"/>
        </w:rPr>
        <w:t>On April 10, 2008, the Company entered into a Promissory Note Modification Agreement with National City Bank pursuant to which the Company’s demand line of credit was increased to $2,300,000 and its $1,500,000 revolving credit facility was terminated. Advances made under the demand line of credit will be made at the sole discretion of National City Bank and will be due and payable on demand and will terminate on January 31, 2009 unless renewed.</w:t>
      </w:r>
    </w:p>
    <w:p>
      <w:pPr>
        <w:spacing w:after="0" w:line="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Outstanding amounts under the demand line of credit bear interest at an annual rate based on LIBOR plus 2.25%. Interest is payable in arrears on the 15th day of each month and on demand.</w:t>
      </w:r>
    </w:p>
    <w:p>
      <w:pPr>
        <w:spacing w:after="0" w:line="17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OR PLAN OF OPERATION</w:t>
      </w:r>
    </w:p>
    <w:p>
      <w:pPr>
        <w:spacing w:after="0" w:line="22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headings “Forward-Looking Statements” and “Risk Factors” appearing elsewhere in this report. The following discussion of the results of the operations and financial condition of NTIC should be read in conjunction with NTIC’s consolidated financial statements and the related notes thereto included under Part I, Item 1 entitled “Financial Statements” of this report.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NTIC focuses on developing, marketing and selling proprietary environmentally responsible materials science based products and technical services directly and via a network of independent distributors, manufacturers’ representatives and joint ventures in over 50 countries. NTIC manufactures, markets and sells primarily rust and corrosion inhibiting products and services for automotive, electronics, electrical, mechanical and military applications, sold under the brand names Zerust® and EXCOR®. NTIC also offers direct, worldwide on-site technical support on rust and corrosion issues. In North America, NTIC markets its technical services and Zerust® products principally to industrial users by a direct sales force and through a network of independent distributors and sales representatives. NTIC’s technical service representatives work directly with the end users of NTIC’s products to analyze their specific needs and develop systems to meet their technical requirements.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Zerust® products and services, NTIC’s consolidated net sales in North America for the six months ended February 29, 2008 included $102,707 in sales of NTIC’s Natur-Tec™ products, which are part of NTIC’s new biodegradable and compostable plastics line. These were the first sales of this new product line, most of which were initial sales to new customers. Beginning in fiscal 2008, NTIC began to manufacture and sell a broad range of bio-based and biodegradable (compostable) polymer resin compounds and products under the Natur-Tec™ brand. In recent years, a combination of market drivers such as higher petroleum prices, a desire to reduce dependence on foreign oil, increased environmental awareness at the consumer level, and favorable regulations banning the use of regular plastics, have led to widespread interest in sustainable, renewable resource based and compostable alternatives to traditional plastics. Natur-Tec™ biodegradable and compostable polymer resins and all products made of the resins meet all requirements of international standards for compostable plastics such as ASTM D6400 (U.S.) and EN 13432 (Europe), and are certified as 100% compostable by the Biodegradable Products Institute in the U.S. The finished products include totally biodegradable compost and trash bags, agricultural film and other single-use disposable products such as compostable cutlery, food and consumer goods packaging.</w:t>
      </w:r>
    </w:p>
    <w:p>
      <w:pPr>
        <w:spacing w:after="0" w:line="18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NTIC participates, either directly or indirectly through holding companies, in 29 corporate joint venture arrangements in North America, South America, Europe, Asia and the Middle East. Each of these joint ventures generally manufactures, markets and sells finished products in the geographic territory that it is assigned. NTIC’s joint venture partners are knowledgeable in the applicable environmental, labor, tax and other requisite regulations and laws of the</w:t>
      </w:r>
    </w:p>
    <w:p>
      <w:pPr>
        <w:sectPr>
          <w:pgSz w:w="11900" w:h="16861" w:orient="portrait"/>
          <w:cols w:equalWidth="0" w:num="1">
            <w:col w:w="11400"/>
          </w:cols>
          <w:pgMar w:left="240" w:top="119" w:right="259" w:bottom="0" w:gutter="0" w:footer="0" w:header="0"/>
        </w:sectPr>
      </w:pPr>
    </w:p>
    <w:bookmarkStart w:id="8" w:name="page9"/>
    <w:bookmarkEnd w:id="8"/>
    <w:p>
      <w:pPr>
        <w:spacing w:after="0" w:line="1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respective foreign countries in which they operate, as well as the local customs and business practices. While most of NTIC’s joint ventures currently sell rust and corrosion inhibiting products and custom packaging systems, NTIC also has joint ventures that manufacture, market and sell or intend to manufacture, market or sell bio-based additives with both industrial and personal care applications, machinery that converts waste plastics into diesel, gasoline and mid-distillates, and electronic sensing instruments. NTIC categorizes its joint ventures into two principal areas: industrial chemical and non-industrial chemical.</w:t>
      </w:r>
    </w:p>
    <w:p>
      <w:pPr>
        <w:spacing w:after="0" w:line="1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an effort to increase net sales, NTIC is in the process of expanding the application of its corrosion inhibiting technology to include solutions targeted at the oil and gas industry, and its product line to include biodegradable and compostable plastics, and machinery that converts waste plastics into diesel, gasoline and mid-distillates. During fiscal 2008, NTIC expects to invest in aggregate between $2,800,000 and $3,100,000 in additional research and development and marketing efforts and resources into these emerging businesses, product lines and markets. These fees are accounted for in the “Expenses incurred in support of corporate joint ventures” section of NTIC’s consolidated statements of income. During the first six months of fiscal 2008, NTIC invested approximately $1,450,720 in additional research and development and marketing efforts and resources into these emerging businesses, product lines and markets. NTIC anticipates additional revenue from these new technologies in fiscal year ending August 31, 2008. Although NTIC recognized $102,707 in sales of Natur-Tec™ for the six months ended February 29, 2008, no assurance can be provided that such new businesses will be successful or that NTIC will be successful in obtaining additional revenue.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NTIC’s consolidated net sales in North America decreased 26.5% during the six months ended February 29, 2008 compared to the six months ended February 28, 2007, primarily as a result of the anticipated loss of its React-NTI, LLC subsidiary’s most significant customer, partially offset by an increase in demand for NTIC’s Zerust® products and sales of its new Natur-Tec™ products. As previously disclosed by NTIC, the sales of React-NTI included in NTIC’s consolidated net sales historically have consisted almost entirely of sales by React Inc., a 100% owned subsidiary of React-NTI, of proprietary ink additives to one customer. During fourth quarter of fiscal 2007, this single customer notified React Inc. of the customer’s intent to purchase React’s remaining inventory of ink additives, but that after such inventory was depleted, the customer would not place any future orders with React Inc. React-NTI had consolidated sales of $285,444 in the six months ended February 29, 2008 compared to sales of $2,785,667 in the six months ended February 28, 2007. The vast majority of such sales by React-NTI were from React Inc., which had sales of $248,160 during the six months ended February 29, 2008 compared to sales of $2,750,050 during the six months ended February 28, 2007. NTIC anticipates no additional sales for React Inc. after the six months ended February 29, 2008. Accordingly, the loss of React’s sole customer has had and is expected to continue to have a material adverse impact on NTIC’s consolidated net sales. However, since the profit on React’s sales of the ink additives to this customer was extremely small, the effect on NTIC’s net income during the six months ended February 29, 2008 was not material and NTIC does not expect that the anticipated continued decrease in net sales by React will have a material adverse effect on NTIC’s future consolidated net income.</w:t>
      </w:r>
    </w:p>
    <w:p>
      <w:pPr>
        <w:spacing w:after="0" w:line="18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Despite the decrease in NTIC’s consolidated net sales in North America, sales of NTIC’s rust and corrosion inhibiting products in North America increased during the six months ended February 29, 2008 compared to the same period in fiscal 2007. Net sales of NTIC’s Zerust® and Natur-Tec™ products increased 4.3% or $246,395 to $5,962,997 during the six months ended February 29, 2008 compared to $5,716,602 during the six months ended February 28, 2007. NTIC’s consolidated net sales in North America during the six months ended February 29, 2008 included $102,707 from sales of NTIC’s Natur-Tec™ products.</w:t>
      </w:r>
    </w:p>
    <w:p>
      <w:pPr>
        <w:spacing w:after="0" w:line="18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NTIC’s international business has expanded significantly during the past several fiscal years. Total net sales of all of NTIC’s joint ventures increased 25.0% to $49,091,121 during the six months ended February 29, 2008 compared to $39,272,049 during the six months ended February 28, 2007. The profits of NTIC’s corporate joint ventures are shared, however, by the respective corporate joint venture owners in accordance with their respective ownership percentages. In addition, NTIC’s receipt of funds as a result of sales by its joint ventures is dependent upon NTIC’s receipt of dividend distributions from the joint ventures and NTIC’s receipt of fees for technical and other support services that NTIC provides to its joint ventures based on the revenues of the joint ventures. NTIC typically owns 50% or less of its joint venture entities and thus does not control the decisions of these entities regarding whether and how much to pay dividends in dividends in any given year. NTIC’s income from its corporate joint ventures and holding companies increased 100.0% to $2,636,366 for the six months ended February 29, 2008 compared to $1,318,436 for the six months ended February 28, 2007.</w:t>
      </w:r>
    </w:p>
    <w:p>
      <w:pPr>
        <w:spacing w:after="0" w:line="18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NTIC sold its 50% interest in its industrial chemical joint venture in Austria for a recorded $364,000. The Company’s industrial chemical joint venture in Germany purchased the joint venture and has consolidated it into its existing business; the German joint venture will service the territory and customers of the former Austrian venture as well. The Company recorded a gain on the sale of $172,767, as the Company has determined its interest in the entity was non-controlling.</w:t>
      </w:r>
    </w:p>
    <w:p>
      <w:pPr>
        <w:spacing w:after="0" w:line="180"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Cost of sales as a percentage of net sales decreased to 59.3% for the six months ended February 29, 2008 compared to 63.6% for the six months ended February 28, 2007 primarily as a result of the significant decrease of React Inc. sales during the six months ended February 29, 2008 compared to the same period during fiscal 2007, which sales were sold at lower margins than NTIC’s Zerust® and Natur-Tec™ products.</w:t>
      </w:r>
    </w:p>
    <w:p>
      <w:pPr>
        <w:spacing w:after="0" w:line="176"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8"/>
          <w:szCs w:val="18"/>
          <w:color w:val="auto"/>
        </w:rPr>
        <w:t>Net income decreased 8.4% to $1,317,886, or $0.35 per diluted common share, for the six months ended February 29, 2008 compared to $1,438,427, or $0.39 per diluted common share, for the six months ended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2007, primarily as a result of a one-time gain on sale of assets of $724,495 during the first six months of fiscal 2007.</w:t>
      </w:r>
    </w:p>
    <w:p>
      <w:pPr>
        <w:spacing w:after="0" w:line="224"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NTIC’s working capital was $5,083,555 at February 29, 2008, including $461,161 in cash and cash equivalents. As of February 29, 2008, NTIC did not have any borrowings under its $1,500,000 revolving credit facility. Although the revolving credit facility was recently renewed for another year, on April 10, 2008, the revolving credit facility was terminated and NTIC’s demand line of credit was increased to $2,300,000.</w:t>
      </w:r>
    </w:p>
    <w:p>
      <w:pPr>
        <w:spacing w:after="0" w:line="17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NTIC elected not to pay a cash dividend to its stockholders in fiscal 2007 or thus far in fiscal 2008 in order to preserve cash and make investments in future operations. NTIC expects to meet its future liquidity requirements during at least the next 12 months by using its existing cash and cash equivalents, forecasted cash flows from future operations, anticipated distributions of earnings and technical assistance fees to NTIC from its joint venture investments and funds available through existing or anticipated financing arrangements.</w:t>
      </w:r>
    </w:p>
    <w:p>
      <w:pPr>
        <w:sectPr>
          <w:pgSz w:w="11900" w:h="16857" w:orient="portrait"/>
          <w:cols w:equalWidth="0" w:num="1">
            <w:col w:w="11420"/>
          </w:cols>
          <w:pgMar w:left="240" w:top="121" w:right="239" w:bottom="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results of operations for the three months ended February 29, 2008 and February 28,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29,</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3"/>
                <w:szCs w:val="13"/>
                <w:color w:val="auto"/>
              </w:rPr>
            </w:pPr>
          </w:p>
        </w:tc>
        <w:tc>
          <w:tcPr>
            <w:tcW w:w="90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Pr>
          <w:p>
            <w:pPr>
              <w:spacing w:after="0"/>
              <w:rPr>
                <w:sz w:val="13"/>
                <w:szCs w:val="13"/>
                <w:color w:val="auto"/>
              </w:rPr>
            </w:pPr>
          </w:p>
        </w:tc>
      </w:tr>
      <w:tr>
        <w:trPr>
          <w:trHeight w:val="173"/>
        </w:trPr>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20" w:type="dxa"/>
            <w:vAlign w:val="bottom"/>
          </w:tcPr>
          <w:p>
            <w:pPr>
              <w:spacing w:after="0"/>
              <w:rPr>
                <w:sz w:val="15"/>
                <w:szCs w:val="15"/>
                <w:color w:val="auto"/>
              </w:rPr>
            </w:pPr>
          </w:p>
        </w:tc>
        <w:tc>
          <w:tcPr>
            <w:tcW w:w="9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00" w:type="dxa"/>
            <w:vAlign w:val="bottom"/>
          </w:tcPr>
          <w:p>
            <w:pPr>
              <w:spacing w:after="0"/>
              <w:rPr>
                <w:sz w:val="15"/>
                <w:szCs w:val="15"/>
                <w:color w:val="auto"/>
              </w:rPr>
            </w:pPr>
          </w:p>
        </w:tc>
        <w:tc>
          <w:tcPr>
            <w:tcW w:w="1100" w:type="dxa"/>
            <w:vAlign w:val="bottom"/>
            <w:gridSpan w:val="2"/>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5"/>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2,762,856</w:t>
            </w:r>
          </w:p>
        </w:tc>
        <w:tc>
          <w:tcPr>
            <w:tcW w:w="2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3,884,895</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(1,122,039</w:t>
            </w:r>
          </w:p>
        </w:tc>
        <w:tc>
          <w:tcPr>
            <w:tcW w:w="200" w:type="dxa"/>
            <w:vAlign w:val="bottom"/>
            <w:tcBorders>
              <w:top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(28.9)%</w:t>
            </w:r>
          </w:p>
        </w:tc>
        <w:tc>
          <w:tcPr>
            <w:tcW w:w="160" w:type="dxa"/>
            <w:vAlign w:val="bottom"/>
            <w:tcBorders>
              <w:top w:val="single" w:sz="8" w:color="CCEEFF"/>
            </w:tcBorders>
            <w:shd w:val="clear" w:color="auto" w:fill="CCEEFF"/>
          </w:tcPr>
          <w:p>
            <w:pPr>
              <w:spacing w:after="0"/>
              <w:rPr>
                <w:sz w:val="16"/>
                <w:szCs w:val="16"/>
                <w:color w:val="auto"/>
              </w:rPr>
            </w:pPr>
          </w:p>
        </w:tc>
      </w:tr>
      <w:tr>
        <w:trPr>
          <w:trHeight w:val="202"/>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1,609,954</w:t>
            </w:r>
          </w:p>
        </w:tc>
        <w:tc>
          <w:tcPr>
            <w:tcW w:w="2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58.3%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2,459,064</w:t>
            </w:r>
          </w:p>
        </w:tc>
        <w:tc>
          <w:tcPr>
            <w:tcW w:w="2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63.3%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(849,110 )</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(34.5)%</w:t>
            </w:r>
          </w:p>
        </w:tc>
        <w:tc>
          <w:tcPr>
            <w:tcW w:w="160" w:type="dxa"/>
            <w:vAlign w:val="bottom"/>
          </w:tcPr>
          <w:p>
            <w:pPr>
              <w:spacing w:after="0"/>
              <w:rPr>
                <w:sz w:val="17"/>
                <w:szCs w:val="17"/>
                <w:color w:val="auto"/>
              </w:rPr>
            </w:pPr>
          </w:p>
        </w:tc>
      </w:tr>
      <w:tr>
        <w:trPr>
          <w:trHeight w:val="20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expenses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754,302</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810,165</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(55,863 )</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(6.9)%</w:t>
            </w:r>
          </w:p>
        </w:tc>
        <w:tc>
          <w:tcPr>
            <w:tcW w:w="160" w:type="dxa"/>
            <w:vAlign w:val="bottom"/>
            <w:shd w:val="clear" w:color="auto" w:fill="CCEEFF"/>
          </w:tcPr>
          <w:p>
            <w:pPr>
              <w:spacing w:after="0"/>
              <w:rPr>
                <w:sz w:val="17"/>
                <w:szCs w:val="17"/>
                <w:color w:val="auto"/>
              </w:rPr>
            </w:pPr>
          </w:p>
        </w:tc>
      </w:tr>
      <w:tr>
        <w:trPr>
          <w:trHeight w:val="202"/>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894,525</w:t>
            </w:r>
          </w:p>
        </w:tc>
        <w:tc>
          <w:tcPr>
            <w:tcW w:w="2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804,289</w:t>
            </w:r>
          </w:p>
        </w:tc>
        <w:tc>
          <w:tcPr>
            <w:tcW w:w="2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90,236</w:t>
            </w:r>
          </w:p>
        </w:tc>
        <w:tc>
          <w:tcPr>
            <w:tcW w:w="2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11.2%</w:t>
            </w:r>
          </w:p>
        </w:tc>
        <w:tc>
          <w:tcPr>
            <w:tcW w:w="160" w:type="dxa"/>
            <w:vAlign w:val="bottom"/>
          </w:tcPr>
          <w:p>
            <w:pPr>
              <w:spacing w:after="0"/>
              <w:rPr>
                <w:sz w:val="17"/>
                <w:szCs w:val="17"/>
                <w:color w:val="auto"/>
              </w:rPr>
            </w:pPr>
          </w:p>
        </w:tc>
      </w:tr>
      <w:tr>
        <w:trPr>
          <w:trHeight w:val="20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 and technical support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53,616</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45,335</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8,281</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18.3%</w:t>
            </w:r>
          </w:p>
        </w:tc>
        <w:tc>
          <w:tcPr>
            <w:tcW w:w="160" w:type="dxa"/>
            <w:vAlign w:val="bottom"/>
            <w:shd w:val="clear" w:color="auto" w:fill="CCEEFF"/>
          </w:tcPr>
          <w:p>
            <w:pPr>
              <w:spacing w:after="0"/>
              <w:rPr>
                <w:sz w:val="17"/>
                <w:szCs w:val="17"/>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results of operations for the six months ended February 29, 2008 and February 28,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3"/>
                <w:szCs w:val="13"/>
                <w:color w:val="auto"/>
              </w:rPr>
            </w:pPr>
          </w:p>
        </w:tc>
        <w:tc>
          <w:tcPr>
            <w:tcW w:w="8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40" w:type="dxa"/>
            <w:vAlign w:val="bottom"/>
          </w:tcPr>
          <w:p>
            <w:pPr>
              <w:spacing w:after="0"/>
              <w:rPr>
                <w:sz w:val="13"/>
                <w:szCs w:val="13"/>
                <w:color w:val="auto"/>
              </w:rPr>
            </w:pPr>
          </w:p>
        </w:tc>
      </w:tr>
      <w:tr>
        <w:trPr>
          <w:trHeight w:val="173"/>
        </w:trPr>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29, 2008</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4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28, 2007</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80" w:type="dxa"/>
            <w:vAlign w:val="bottom"/>
          </w:tcPr>
          <w:p>
            <w:pPr>
              <w:spacing w:after="0"/>
              <w:rPr>
                <w:sz w:val="15"/>
                <w:szCs w:val="15"/>
                <w:color w:val="auto"/>
              </w:rPr>
            </w:pPr>
          </w:p>
        </w:tc>
        <w:tc>
          <w:tcPr>
            <w:tcW w:w="980" w:type="dxa"/>
            <w:vAlign w:val="bottom"/>
            <w:gridSpan w:val="2"/>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5"/>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6,248,441</w:t>
            </w:r>
          </w:p>
        </w:tc>
        <w:tc>
          <w:tcPr>
            <w:tcW w:w="1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8,502,269</w:t>
            </w:r>
          </w:p>
        </w:tc>
        <w:tc>
          <w:tcPr>
            <w:tcW w:w="1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(2,253,828</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(26.5)%</w:t>
            </w:r>
          </w:p>
        </w:tc>
        <w:tc>
          <w:tcPr>
            <w:tcW w:w="140" w:type="dxa"/>
            <w:vAlign w:val="bottom"/>
            <w:tcBorders>
              <w:top w:val="single" w:sz="8" w:color="CCEEFF"/>
            </w:tcBorders>
            <w:shd w:val="clear" w:color="auto" w:fill="CCEEFF"/>
          </w:tcPr>
          <w:p>
            <w:pPr>
              <w:spacing w:after="0"/>
              <w:rPr>
                <w:sz w:val="16"/>
                <w:szCs w:val="16"/>
                <w:color w:val="auto"/>
              </w:rPr>
            </w:pPr>
          </w:p>
        </w:tc>
      </w:tr>
      <w:tr>
        <w:trPr>
          <w:trHeight w:val="202"/>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3,703,645</w:t>
            </w:r>
          </w:p>
        </w:tc>
        <w:tc>
          <w:tcPr>
            <w:tcW w:w="16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59.3%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5,404,119</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63.6%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(1,700,474 )</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(31.5)%</w:t>
            </w:r>
          </w:p>
        </w:tc>
        <w:tc>
          <w:tcPr>
            <w:tcW w:w="140" w:type="dxa"/>
            <w:vAlign w:val="bottom"/>
          </w:tcPr>
          <w:p>
            <w:pPr>
              <w:spacing w:after="0"/>
              <w:rPr>
                <w:sz w:val="17"/>
                <w:szCs w:val="17"/>
                <w:color w:val="auto"/>
              </w:rPr>
            </w:pPr>
          </w:p>
        </w:tc>
      </w:tr>
      <w:tr>
        <w:trPr>
          <w:trHeight w:val="20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expenses</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1,613,946</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1,579,204</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34,742</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shd w:val="clear" w:color="auto" w:fill="CCEEFF"/>
          </w:tcPr>
          <w:p>
            <w:pPr>
              <w:spacing w:after="0"/>
              <w:rPr>
                <w:sz w:val="17"/>
                <w:szCs w:val="17"/>
                <w:color w:val="auto"/>
              </w:rPr>
            </w:pPr>
          </w:p>
        </w:tc>
      </w:tr>
      <w:tr>
        <w:trPr>
          <w:trHeight w:val="202"/>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1,842,822</w:t>
            </w:r>
          </w:p>
        </w:tc>
        <w:tc>
          <w:tcPr>
            <w:tcW w:w="16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29.5%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1,627,172</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215,650</w:t>
            </w:r>
          </w:p>
        </w:tc>
        <w:tc>
          <w:tcPr>
            <w:tcW w:w="1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13.3%</w:t>
            </w:r>
          </w:p>
        </w:tc>
        <w:tc>
          <w:tcPr>
            <w:tcW w:w="140" w:type="dxa"/>
            <w:vAlign w:val="bottom"/>
          </w:tcPr>
          <w:p>
            <w:pPr>
              <w:spacing w:after="0"/>
              <w:rPr>
                <w:sz w:val="17"/>
                <w:szCs w:val="17"/>
                <w:color w:val="auto"/>
              </w:rPr>
            </w:pPr>
          </w:p>
        </w:tc>
      </w:tr>
      <w:tr>
        <w:trPr>
          <w:trHeight w:val="20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 and technical support expenses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110,744</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130,375</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(19,631 )</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(15.1)%</w:t>
            </w:r>
          </w:p>
        </w:tc>
        <w:tc>
          <w:tcPr>
            <w:tcW w:w="140" w:type="dxa"/>
            <w:vAlign w:val="bottom"/>
            <w:shd w:val="clear" w:color="auto" w:fill="CCEEFF"/>
          </w:tcPr>
          <w:p>
            <w:pPr>
              <w:spacing w:after="0"/>
              <w:rPr>
                <w:sz w:val="17"/>
                <w:szCs w:val="17"/>
                <w:color w:val="auto"/>
              </w:rPr>
            </w:pPr>
          </w:p>
        </w:tc>
      </w:tr>
    </w:tbl>
    <w:p>
      <w:pPr>
        <w:spacing w:after="0" w:line="19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NTIC’s net sales originating in the United States decreased during the three and six months ended February 29, 2008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periods in fiscal 2007 primarily as a result of the loss of the principal customer of React Inc., partially offset by an increase in demand for Zerust® products sold to existing and new customers and sales of Natur-Tec™ products in the fiscal 2008 periods.</w:t>
      </w:r>
    </w:p>
    <w:p>
      <w:pPr>
        <w:spacing w:after="0" w:line="17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decreased as a percentage of net sales for the three and six months ended February 29, 2008,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periods in fiscal 2007 primarily as a result of the significant decrease in React Inc. sales which were sold at significantly lower margins than NTIC’s Zerust® products.</w:t>
      </w:r>
    </w:p>
    <w:p>
      <w:pPr>
        <w:spacing w:after="0" w:line="173"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NTIC’s selling expenses decreased for the three months ended February 29, 2008 compared to the same period in fiscal 2007 primarily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decreases in travel and related expenses associated with the discontinuation of sales by React Inc as noted above under the heading “Part 1. Financial Information. Item 2. Management’s Discussion and Analysis or Plan of Operation.”. Selling expenses increased for the six months ended February 29, 2008 by a negligible amount, compared tothe same period in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color w:val="auto"/>
        </w:rPr>
        <w:t>fiscal 2007. Selling expenses as a percentage of net sales for the three and six month periods increased significantly compared to same respective periods in fiscal 2007 due to the decrease in React Inc. sales.</w:t>
      </w:r>
    </w:p>
    <w:p>
      <w:pPr>
        <w:spacing w:after="0" w:line="1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NTIC’s general and administrative expenses increased for the three and six months ended February 29, 2008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same respective periods in fiscal 2007. The increase for the six-month period was primarily a result of increases in (i) audit and tax expense of $104,000 and (ii) salary and benefits expenses of $40,000, partially offset by decreases in (i) insurance expense of $32,000. The increase for the three-month period was primarily the result of increases in the same types of expenses associated with the six month period. As a percentage of net sales, general and administrative expenses increased significantly compared to same respective periods in fiscal 2007 due to the decrease in React Inc. net sales.</w:t>
      </w:r>
    </w:p>
    <w:p>
      <w:pPr>
        <w:spacing w:after="0" w:line="18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NTIC includes expenses in general and administrative expenses that provide benefit to the various joint ventures in addition to providing benefit to NTIC’s North American operations, including specifically, expenses associated with information technology, general insurance, salary and benefits, building expenses, audit and tax and directors fees.</w:t>
      </w:r>
    </w:p>
    <w:p>
      <w:pPr>
        <w:spacing w:after="0" w:line="17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i w:val="1"/>
          <w:iCs w:val="1"/>
          <w:color w:val="auto"/>
        </w:rPr>
        <w:t>Lab and Technical Support Expenses</w:t>
      </w:r>
      <w:r>
        <w:rPr>
          <w:rFonts w:ascii="Times New Roman" w:cs="Times New Roman" w:eastAsia="Times New Roman" w:hAnsi="Times New Roman"/>
          <w:sz w:val="18"/>
          <w:szCs w:val="18"/>
          <w:color w:val="auto"/>
        </w:rPr>
        <w:t>. NTIC’s lab and technical support expenses increased by a negligible amount for the three months ended February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2008 compared to the same period in fiscal 2007 and decreased for the six months ended February 29, 2008 compared to the same period in fiscal 2007. As a percentage of net sales, lab and technical support expenses increased slightly during the three and six months ended February 29, 2008 compared to same periods in fiscal 2007.</w:t>
      </w:r>
    </w:p>
    <w:p>
      <w:pPr>
        <w:spacing w:after="0" w:line="180"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i w:val="1"/>
          <w:iCs w:val="1"/>
          <w:color w:val="auto"/>
        </w:rPr>
        <w:t>International Corporate Joint Ventures and Holding Companies</w:t>
      </w:r>
      <w:r>
        <w:rPr>
          <w:rFonts w:ascii="Times New Roman" w:cs="Times New Roman" w:eastAsia="Times New Roman" w:hAnsi="Times New Roman"/>
          <w:sz w:val="18"/>
          <w:szCs w:val="18"/>
          <w:color w:val="auto"/>
        </w:rPr>
        <w:t>. Net sales of NTIC’s corporate joint ventures for the three and six months ended February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2008 and February 28, 2007, excluding React-NTI LLC,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6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348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1"/>
        </w:trPr>
        <w:tc>
          <w:tcPr>
            <w:tcW w:w="40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tcPr>
          <w:p>
            <w:pPr>
              <w:ind w:left="100"/>
              <w:spacing w:after="0" w:line="141" w:lineRule="exact"/>
              <w:rPr>
                <w:sz w:val="20"/>
                <w:szCs w:val="20"/>
                <w:color w:val="auto"/>
              </w:rPr>
            </w:pPr>
            <w:r>
              <w:rPr>
                <w:rFonts w:ascii="Times New Roman" w:cs="Times New Roman" w:eastAsia="Times New Roman" w:hAnsi="Times New Roman"/>
                <w:sz w:val="14"/>
                <w:szCs w:val="14"/>
                <w:b w:val="1"/>
                <w:bCs w:val="1"/>
                <w:color w:val="auto"/>
              </w:rPr>
              <w:t>February 29, 2008</w:t>
            </w:r>
          </w:p>
        </w:tc>
        <w:tc>
          <w:tcPr>
            <w:tcW w:w="2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ind w:right="195"/>
              <w:spacing w:after="0" w:line="141" w:lineRule="exact"/>
              <w:rPr>
                <w:sz w:val="20"/>
                <w:szCs w:val="20"/>
                <w:color w:val="auto"/>
              </w:rPr>
            </w:pPr>
            <w:r>
              <w:rPr>
                <w:rFonts w:ascii="Times New Roman" w:cs="Times New Roman" w:eastAsia="Times New Roman" w:hAnsi="Times New Roman"/>
                <w:sz w:val="14"/>
                <w:szCs w:val="14"/>
                <w:b w:val="1"/>
                <w:bCs w:val="1"/>
                <w:color w:val="auto"/>
              </w:rPr>
              <w:t>February 28, 2007</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ind w:left="80"/>
              <w:spacing w:after="0" w:line="141" w:lineRule="exact"/>
              <w:rPr>
                <w:sz w:val="20"/>
                <w:szCs w:val="20"/>
                <w:color w:val="auto"/>
              </w:rPr>
            </w:pPr>
            <w:r>
              <w:rPr>
                <w:rFonts w:ascii="Times New Roman" w:cs="Times New Roman" w:eastAsia="Times New Roman" w:hAnsi="Times New Roman"/>
                <w:sz w:val="14"/>
                <w:szCs w:val="14"/>
                <w:b w:val="1"/>
                <w:bCs w:val="1"/>
                <w:color w:val="auto"/>
              </w:rPr>
              <w:t>February 29, 2008</w:t>
            </w:r>
          </w:p>
        </w:tc>
        <w:tc>
          <w:tcPr>
            <w:tcW w:w="2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175"/>
              <w:spacing w:after="0" w:line="141" w:lineRule="exact"/>
              <w:rPr>
                <w:sz w:val="20"/>
                <w:szCs w:val="20"/>
                <w:color w:val="auto"/>
              </w:rPr>
            </w:pPr>
            <w:r>
              <w:rPr>
                <w:rFonts w:ascii="Times New Roman" w:cs="Times New Roman" w:eastAsia="Times New Roman" w:hAnsi="Times New Roman"/>
                <w:sz w:val="14"/>
                <w:szCs w:val="14"/>
                <w:b w:val="1"/>
                <w:bCs w:val="1"/>
                <w:color w:val="auto"/>
              </w:rPr>
              <w:t>February 28, 2007</w:t>
            </w:r>
          </w:p>
        </w:tc>
        <w:tc>
          <w:tcPr>
            <w:tcW w:w="180" w:type="dxa"/>
            <w:vAlign w:val="bottom"/>
          </w:tcPr>
          <w:p>
            <w:pPr>
              <w:spacing w:after="0"/>
              <w:rPr>
                <w:sz w:val="12"/>
                <w:szCs w:val="12"/>
                <w:color w:val="auto"/>
              </w:rPr>
            </w:pPr>
          </w:p>
        </w:tc>
      </w:tr>
      <w:tr>
        <w:trPr>
          <w:trHeight w:val="209"/>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chemical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24,850,908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20,082,233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48,477,356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38,402,886</w:t>
            </w:r>
          </w:p>
        </w:tc>
        <w:tc>
          <w:tcPr>
            <w:tcW w:w="180" w:type="dxa"/>
            <w:vAlign w:val="bottom"/>
            <w:tcBorders>
              <w:top w:val="single" w:sz="8" w:color="CCEEFF"/>
            </w:tcBorders>
            <w:shd w:val="clear" w:color="auto" w:fill="CCEEFF"/>
          </w:tcPr>
          <w:p>
            <w:pPr>
              <w:spacing w:after="0"/>
              <w:rPr>
                <w:sz w:val="18"/>
                <w:szCs w:val="18"/>
                <w:color w:val="auto"/>
              </w:rPr>
            </w:pPr>
          </w:p>
        </w:tc>
      </w:tr>
      <w:tr>
        <w:trPr>
          <w:trHeight w:val="215"/>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Non-industrial chemical</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296,098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310,383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613,765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869,163</w:t>
            </w:r>
          </w:p>
        </w:tc>
        <w:tc>
          <w:tcPr>
            <w:tcW w:w="180" w:type="dxa"/>
            <w:vAlign w:val="bottom"/>
            <w:tcBorders>
              <w:bottom w:val="single" w:sz="8" w:color="CCEEFF"/>
            </w:tcBorders>
          </w:tcPr>
          <w:p>
            <w:pPr>
              <w:spacing w:after="0"/>
              <w:rPr>
                <w:sz w:val="18"/>
                <w:szCs w:val="18"/>
                <w:color w:val="auto"/>
              </w:rPr>
            </w:pPr>
          </w:p>
        </w:tc>
      </w:tr>
      <w:tr>
        <w:trPr>
          <w:trHeight w:val="216"/>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25,147,006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20, 392,616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49,091,121</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39,272,049</w:t>
            </w:r>
          </w:p>
        </w:tc>
        <w:tc>
          <w:tcPr>
            <w:tcW w:w="180" w:type="dxa"/>
            <w:vAlign w:val="bottom"/>
            <w:tcBorders>
              <w:bottom w:val="single" w:sz="8" w:color="CCEEFF"/>
            </w:tcBorders>
            <w:shd w:val="clear" w:color="auto" w:fill="CCEEFF"/>
          </w:tcPr>
          <w:p>
            <w:pPr>
              <w:spacing w:after="0"/>
              <w:rPr>
                <w:sz w:val="18"/>
                <w:szCs w:val="18"/>
                <w:color w:val="auto"/>
              </w:rPr>
            </w:pPr>
          </w:p>
        </w:tc>
      </w:tr>
    </w:tbl>
    <w:p>
      <w:pPr>
        <w:spacing w:after="0" w:line="197"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NTIC had equity in income of corporate joint ventures and holding companies of $813,174 and $1,867,856 for the three and six months ended February 29, 2008, respectively, and $994,515 and $1,629,734 for the three and six months ended February 28, 2007, respectively. The increase in the six-month comparison was due to the increase in revenue and profitability due to the growth of corporate joint ventures as a whole.</w:t>
      </w:r>
    </w:p>
    <w:p>
      <w:pPr>
        <w:spacing w:after="0" w:line="176"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NTIC receives fees for technical and other support to NTIC’s corporate joint ventures based on the revenues of the individual corporate joint ventures. NTIC recognized fee income for such support in the amounts of $1,626,632 and $3,020,427 for the three and six months ended February 29, 2008, respectively, and $1,213,162 and $2,346,003 for the three and six months ended February 28, 2007, respectively. These increases in fees for technical and other support to its corporate joint ventures were due to the increase in revenues and profitability from the corporate joint ventures as a whole.</w:t>
      </w:r>
    </w:p>
    <w:p>
      <w:pPr>
        <w:spacing w:after="0" w:line="180" w:lineRule="exact"/>
        <w:rPr>
          <w:sz w:val="20"/>
          <w:szCs w:val="20"/>
          <w:color w:val="auto"/>
        </w:rPr>
      </w:pPr>
    </w:p>
    <w:p>
      <w:pPr>
        <w:ind w:right="60"/>
        <w:spacing w:after="0" w:line="311" w:lineRule="auto"/>
        <w:rPr>
          <w:sz w:val="20"/>
          <w:szCs w:val="20"/>
          <w:color w:val="auto"/>
        </w:rPr>
      </w:pPr>
      <w:r>
        <w:rPr>
          <w:rFonts w:ascii="Times New Roman" w:cs="Times New Roman" w:eastAsia="Times New Roman" w:hAnsi="Times New Roman"/>
          <w:sz w:val="17"/>
          <w:szCs w:val="17"/>
          <w:color w:val="auto"/>
        </w:rPr>
        <w:t>NTIC sold its 50% interest in its industrial chemical joint venture in Austria for a recorded $364,000. The Company’s industrial chemical joint venture in Germany purchased the joint venture and has consolidated it into its existing business; the German joint venture will service the territory and customers of the</w:t>
      </w:r>
    </w:p>
    <w:p>
      <w:pPr>
        <w:sectPr>
          <w:pgSz w:w="11900" w:h="16838" w:orient="portrait"/>
          <w:cols w:equalWidth="0" w:num="1">
            <w:col w:w="11420"/>
          </w:cols>
          <w:pgMar w:left="240" w:top="332" w:right="239" w:bottom="0" w:gutter="0" w:footer="0" w:header="0"/>
        </w:sectPr>
      </w:pPr>
    </w:p>
    <w:bookmarkStart w:id="10" w:name="page11"/>
    <w:bookmarkEnd w:id="10"/>
    <w:p>
      <w:pPr>
        <w:spacing w:after="0" w:line="7"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color w:val="auto"/>
        </w:rPr>
        <w:t>former Austrian venture as well. The Company recorded a gain on the sale of $172,767 related to the sale, as the Company has determined its interest in the entity was non-controlling.</w:t>
      </w:r>
    </w:p>
    <w:p>
      <w:pPr>
        <w:spacing w:after="0" w:line="163"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color w:val="auto"/>
        </w:rPr>
        <w:t>NTIC sponsors a worldwide corporate joint venture conference approximately every three to four years in which all of its corporate joint ventures are invited to participate. NTIC defers a portion of its technical and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support fees received from its corporate joint ventures in each accounting period leading up to the next conference, reflecting that NTIC has not fully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earned the payments received during that period. The next corporate joint venture conference is scheduled to be held in the summer of 2009. There was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$240,000 of deferred income recorded within other accrued liabilities at February 29, 2008 related to this future conference. The costs associated with these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venture conferences are offset against the deferral as incurred, generally in the period in which the conference is held and immediately before.</w:t>
      </w:r>
    </w:p>
    <w:p>
      <w:pPr>
        <w:spacing w:after="0" w:line="2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NTIC incurred direct expenses related to its corporate joint ventures and the holding companies of $1,164,432 and $2,403,607 for the three and six months ended February 29, 2008 compared to $1,341,052 and $2,657,301 for the three and six months ended February 28, 2007. These expenses include: product and business development, consulting, travel, technical and marketing services to existing joint ventures, legal fees regarding the establishment of new joint ventures, registration and promotion and legal defense of worldwide trademarks and legal fees incurred in the filing of patent applications for new technologies to which NTIC acquired certain rights. The decreases in direct expenses incurred relating to NTIC’s corporate joint ventures and holding companies for the six months ended February 29, 2008 compared to the same period in fiscal 2007 were attributable to decreases of (i) lab testing and lab supplies of $31,000, (ii) consulting expense of $31,000, (iii) legal expense of $123,000, partially offset by increases in (i) expenses related to employee wages of $79,000, (ii) travel and related expenses of $30,000, and (iv) miscellaneous expenses of $36,000. The decrease for the three months ended February 28, 2007 compared to the same period in fiscal 2007 was a result of decrease in the same types of expenses associated with the six-month period. As a percentage of net sales, direct expenses incurred relating to NTIC’s corporate joint ventures and holding companies increased significantly due to the decrease in React Inc. net sales for the six months ended February 29, 2008 compared to same period in fiscal 2007.</w:t>
      </w:r>
    </w:p>
    <w:p>
      <w:pPr>
        <w:spacing w:after="0" w:line="19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NTIC’s interest income decreased to $424 for the three months ended February 29, 2008 compared to $766 for the same period in fiscal 2007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decreased to $919 for the six months ended February 29, 2008 compared to $1,701 for the same period in fiscal 2007 due to lower average invested cash balances during the fiscal 2008 periods.</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NTIC’s interest expense decreased to $40,592 for the three months ended February 29, 2008 compared to $47,483 for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2007 and decreased to $72,115 for the six months ended February 29, 2008 compared to $90,364 for the same period in fiscal 2007 due to lower average outstanding debt levels and decreases in interest rates during the fiscal 2008 periods.</w:t>
      </w:r>
    </w:p>
    <w:p>
      <w:pPr>
        <w:spacing w:after="0" w:line="173"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Gain on Sale of Assets</w:t>
      </w:r>
      <w:r>
        <w:rPr>
          <w:rFonts w:ascii="Times New Roman" w:cs="Times New Roman" w:eastAsia="Times New Roman" w:hAnsi="Times New Roman"/>
          <w:sz w:val="18"/>
          <w:szCs w:val="18"/>
          <w:color w:val="auto"/>
        </w:rPr>
        <w:t>. NTIC recognized a gain on sale of assets of $4,001 for the three months ended February 29, 2008 compared to a gain on sale of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$1,700 for the same period in fiscal 2007. NTIC recognized a gain on sale of assets of $5,530 during the six months ended February 29, 2008 compared to a gain on sale of assets of $726,195 for the same period in fiscal 2007, $724,495 of which was due to the sale of land, building and equipment that previously served as NTIC’s corporate headquarters. This $724,495 in gain was the result of a one-time sale and no additional gain was recognized or is anticipated to be recognized relating to NTIC’s former corporate headquarters in the future.</w:t>
      </w:r>
    </w:p>
    <w:p>
      <w:pPr>
        <w:spacing w:after="0" w:line="17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i w:val="1"/>
          <w:iCs w:val="1"/>
          <w:color w:val="auto"/>
        </w:rPr>
        <w:t>Income Before Income Tax Expense</w:t>
      </w:r>
      <w:r>
        <w:rPr>
          <w:rFonts w:ascii="Times New Roman" w:cs="Times New Roman" w:eastAsia="Times New Roman" w:hAnsi="Times New Roman"/>
          <w:sz w:val="18"/>
          <w:szCs w:val="18"/>
          <w:color w:val="auto"/>
        </w:rPr>
        <w:t>. Income before income tax expense increased to $848,690 for the three months ended February 29, 2008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$596,203 for the same period in fiscal 2007. Income before income tax expense decreased $133,541 to $1,584,886 for the six months ended February 29, 2008 compared to $1,718,427 for the same period in fiscal 2007.</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increased to $189,000 for the three months ended February 29, 2008 compared to $148,000 for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2007. Income tax expense decreased to $267,000 for the six months ended February 29, 2008 compared to $280,000 for the same period in fiscal 2007. Income tax expense for the three and six months ended February 29, 2008 and February 28, 2007, respectively, was calculated based on management’s estimate of NTIC’s annual effective income tax rate. NTIC’s annual effective income tax rate during the six months ended February 29, 2008 and February 28,</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2007 was lower than the statutory rate primarily due to NTIC’s equity in income of corporate joint ventures being recognized based on after-tax earnings of these entities. To the extent joint ventures’ undistributed earnings are distributed to NTIC, it is not expected to result in any material additional income tax liability after the application of foreign tax credits.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6" w:lineRule="exact"/>
        <w:rPr>
          <w:sz w:val="20"/>
          <w:szCs w:val="20"/>
          <w:color w:val="auto"/>
        </w:rPr>
      </w:pPr>
    </w:p>
    <w:p>
      <w:pPr>
        <w:jc w:val="both"/>
        <w:ind w:right="240"/>
        <w:spacing w:after="0" w:line="283" w:lineRule="auto"/>
        <w:rPr>
          <w:sz w:val="20"/>
          <w:szCs w:val="20"/>
          <w:color w:val="auto"/>
        </w:rPr>
      </w:pPr>
      <w:r>
        <w:rPr>
          <w:rFonts w:ascii="Times New Roman" w:cs="Times New Roman" w:eastAsia="Times New Roman" w:hAnsi="Times New Roman"/>
          <w:sz w:val="18"/>
          <w:szCs w:val="18"/>
          <w:i w:val="1"/>
          <w:iCs w:val="1"/>
          <w:color w:val="auto"/>
        </w:rPr>
        <w:t>Sources of Cash and Working Capital</w:t>
      </w:r>
      <w:r>
        <w:rPr>
          <w:rFonts w:ascii="Times New Roman" w:cs="Times New Roman" w:eastAsia="Times New Roman" w:hAnsi="Times New Roman"/>
          <w:sz w:val="18"/>
          <w:szCs w:val="18"/>
          <w:color w:val="auto"/>
        </w:rPr>
        <w:t>. As of February 29, 2008, NTIC’s working capital was $5,083,555, including $461,161 in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working capital of $3,788,777, including $244,499 in cash and cash equivalents, as of August 31, 2007.</w:t>
      </w:r>
    </w:p>
    <w:p>
      <w:pPr>
        <w:spacing w:after="0" w:line="16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NTIC had a revolving credit facility of $1,500,000 that was renewed on January 30, 2008. As described in more detail below, subsequent to the end of NTIC’s second fiscal quarter, NTIC terminated the revolving credit facility and increased the amount available under its demand line of credit with National City Bank to $2,300,000. Outstanding amounts under the revolving credit facility bore interest at an annual rate based on LIBOR plus 2.25%. As of February 29, 2008, the interest rate was 7.49% and the average interest rate over the six months ended February 29, 2008 and February 28, 2007 was 7.43% and 7.58%, respectively. Amounts borrowed under the facility were collateralized by a lien on substantially all of NTIC’s assets, excluding its corporate joint venture interests, intellectual property rights and its Circle Pines headquarters. The credit documents contained other terms and provisions (including representations, covenants and conditions) customary for transactions of this type. Significant financial covenants included the maintenance of a minimum fixed charge coverage ratio of 1.0 to 1.0. Other covenants included a prohibition on any merger or consolidation without prior consent of the lender and restrictions on future credit extensions and non-equity investments and the incurrence of additional indebtedness without the lender’s prior consent. During the six months ended February 29, 2008, NTIC was in compliance with all covenants under the revolving credit facility. The facility contained customary events of default, including nonpayment of principal or other amounts when due; breach of covenants; inaccuracy of representations and warranties; cross-default and/or cross-acceleration to other indebtedness; non-compliance with laws; certain voluntary and involuntary bankruptcy events; judgments entered against NTIC; and a</w:t>
      </w:r>
    </w:p>
    <w:p>
      <w:pPr>
        <w:sectPr>
          <w:pgSz w:w="11900" w:h="16846" w:orient="portrait"/>
          <w:cols w:equalWidth="0" w:num="1">
            <w:col w:w="11420"/>
          </w:cols>
          <w:pgMar w:left="240" w:top="121" w:right="239" w:bottom="0" w:gutter="0" w:footer="0" w:header="0"/>
        </w:sectPr>
      </w:pPr>
    </w:p>
    <w:bookmarkStart w:id="11" w:name="page12"/>
    <w:bookmarkEnd w:id="11"/>
    <w:p>
      <w:pPr>
        <w:spacing w:after="0" w:line="5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sale of material assets. If an event of default were to occur and was continuing, the lender had the right, among other things, to terminate its obligations thereunder and require NTIC to repay all amounts thereunder. As of February 29, 2008, there was no outstanding balance under the facility. The line of credit was subject to a borrowing base calculation and at February 29, 2008, NTIC had $1,500,000 available.</w:t>
      </w:r>
    </w:p>
    <w:p>
      <w:pPr>
        <w:spacing w:after="0" w:line="176"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NTIC also had a demand line of credit in the amount of $800,000 with National City Bank. NTIC obtained the demand line of credit in December 2006 to fund NTIC’s obligations related to a required deposit of $445,469 with the courts in Finland in connection with NTIC’s legal action in Finland. On April 10, 2008, NTIC entered into a Promissory Note Modification Agreement with National City Bank pursuant to which NTIC’s demand line of credit was increased to $2,300,000 and its $1,500,000 revolving credit facility was terminated. Advances made under the demand line of credit will be made at the sole discretion of National City Bank and will be due and payable on demand. Outstanding amounts under the demand line of credit bear interest at an annual rate based on LIBOR plus 2.25%. As of February 29, 2008, the interest rate was 7.49%. Interest is payable in arrears on the 15th day of each month and on demand. There was no outstanding balance under this facility as of February 29, 2008; however, $600,000 was committed from the demand line to cover a letter of credit</w:t>
      </w:r>
    </w:p>
    <w:p>
      <w:pPr>
        <w:spacing w:after="0" w:line="17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NTIC believes that a combination of its existing cash and cash equivalents, forecasted cash flows from future operations, anticipated distributions of earnings and technical assistance fees to NTIC from its joint venture investments and funds available through existing or anticipated financing arrangements, will continue to be adequate to fund its operations, capital expenditures, debt repayments and any stock repurchases for at least the next 12 months. In an effort to increase net sales, NTIC is in the process of expanding the application of its corrosion inhibiting technology into the oil and gas industry and its product line to include biodegradable and compostable plastics and machinery that converts waste plastics into diesel, gasoline and mid-distillates.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During the remainder of fiscal 2008, NTIC expects to invest additional research and development and marketing efforts and resources into these emerging businesses, product lines and markets. During the first six months of fiscal 2008, NTIC invested approximately $1,450,720 in additional research and development and marketing efforts and resources into these emerging businesses, product lines and markets. In order to take advantage of such new product and market opportunities to expand its business and increase its revenues, NTIC may decide to finance such opportunities by increasing borrowings under its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Uses of Cash and Cash Flows</w:t>
      </w:r>
      <w:r>
        <w:rPr>
          <w:rFonts w:ascii="Times New Roman" w:cs="Times New Roman" w:eastAsia="Times New Roman" w:hAnsi="Times New Roman"/>
          <w:sz w:val="18"/>
          <w:szCs w:val="18"/>
          <w:color w:val="auto"/>
        </w:rPr>
        <w:t>. Cash flows used in operations for the six months ended February 29, 2008 was $1,212,862, which resulted principally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equity income of corporate joint ventures, increases in technical and other services receivables, inventories and prepaid expenses and decreases in accounts payable being offset by net income, depreciation and amortization expense, decreases in trade receivables and increases in accrued liabilities. Cash flows used in operations for the six months ended February 28, 2007 were $1,371,623, which resulted principally from equity in income from corporate joint ventures, gain on sale of assets, decreases in accounts payable and accrued liabilities and increases in inventories and prepaid expenses, offset by net income, depreciation and amortization expense, and decreases in trade and income tax receivables.</w:t>
      </w:r>
    </w:p>
    <w:p>
      <w:pPr>
        <w:spacing w:after="0" w:line="18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February 29, 2008 was $1,398,107 which was comprised of dividends received from corporate joint ventures and the sale of a joint venture, offset by additions to property and equipment, loans made and investment in joint ventures. Net cash provided by investing activities for the six months ended February 28, 2007 was $1,201,390, which resulted from dividends received from corporate joint ventures, proceeds from the sale of assets and cash received from loans and deposits, offset by additions to property and equipment and investment in joint ventures.</w:t>
      </w:r>
    </w:p>
    <w:p>
      <w:pPr>
        <w:spacing w:after="0" w:line="18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February 29, 2008 was $31,417, which resulted primarily from proceeds from the employee stock purchase plan offset by principal payments on the bank loan for NTIC’s corporate headquarter building. Net cash provided by financing activities for the six months ended February 28, 2007 was $111,670, which resulted primarily from borrowings on NTIC’s line of credit and proceeds from the exercise of stock options, offset by bank overdrafts.</w:t>
      </w:r>
    </w:p>
    <w:p>
      <w:pPr>
        <w:spacing w:after="0" w:line="17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NTIC had no material lease commitments as of February 29, 2008, except a lease agreement entered into by NTI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Inc., a subsidiary of NTIC, for approximately 16,994 square feet of office, manufacturing, laboratory and warehouse space in Beachwood, Ohio, requiring monthly payments of $17,500, which are adjusted annually according to the annual consumer price index, through November 2014.</w:t>
      </w:r>
    </w:p>
    <w:p>
      <w:pPr>
        <w:spacing w:after="0" w:line="1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NTIC moved its corporate headquarters in September 2006. NTIC purchased the real estate and 40,000 square feet building in which its new corporate headquarters is located pursuant to a like-kind exchange transaction within the meaning of Section 1031 of the Internal Revenue Code of 1986, as amended, for a purchase price of $1,475,000. To finance the transaction, NTIC obtained a secured term loan in the principal amount of $1,275,000. The term loan matures on May 1, 2011, bears interest at a fixed rate of 8.01% and is payable in 59 monthly installments equal to approximately $10,776 (inclusive of principal and interest) commencing June 1, 2006. All of the remaining unpaid principal and accrued interest is due and payable on the May 1, 2011 maturity date. The loan is secured by a first lien on the real estate and building.</w:t>
      </w:r>
    </w:p>
    <w:p>
      <w:pPr>
        <w:spacing w:after="0" w:line="188"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NTIC sold the real property and building in which NTIC’s former Lino Lakes corporate headquarters was located for a purchase price of $870,000 on September 8, 2006. The net book value of the building held for sale was $89,636 and the closing costs and fees associated with the sale of the property was $46,571. The gain on sale of the property was $724,495.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has no post-retirement benefit plan and does not anticipate establishing any post-retirement benefit program.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8"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76" w:lineRule="exact"/>
        <w:rPr>
          <w:sz w:val="20"/>
          <w:szCs w:val="20"/>
          <w:color w:val="auto"/>
        </w:rPr>
      </w:pPr>
    </w:p>
    <w:p>
      <w:pPr>
        <w:ind w:right="220"/>
        <w:spacing w:after="0" w:line="311" w:lineRule="auto"/>
        <w:rPr>
          <w:sz w:val="20"/>
          <w:szCs w:val="20"/>
          <w:color w:val="auto"/>
        </w:rPr>
      </w:pPr>
      <w:r>
        <w:rPr>
          <w:rFonts w:ascii="Times New Roman" w:cs="Times New Roman" w:eastAsia="Times New Roman" w:hAnsi="Times New Roman"/>
          <w:sz w:val="17"/>
          <w:szCs w:val="17"/>
          <w:color w:val="auto"/>
        </w:rPr>
        <w:t>In fiscal 1999, a subsidiary of NTIC, NTI Facilities, Inc., acquired a one-third ownership of Omni-Northern Ltd., which owns and operates a rental property located at 23205 Mercantile Road, Beachwood, Ohio. The property has an approximate value of $2,205,000, based upon the cash-to-mortgage acquisition</w:t>
      </w:r>
    </w:p>
    <w:p>
      <w:pPr>
        <w:sectPr>
          <w:pgSz w:w="11900" w:h="16898" w:orient="portrait"/>
          <w:cols w:equalWidth="0" w:num="1">
            <w:col w:w="11420"/>
          </w:cols>
          <w:pgMar w:left="240" w:top="121" w:right="239" w:bottom="0" w:gutter="0" w:footer="0" w:header="0"/>
        </w:sectPr>
      </w:pPr>
    </w:p>
    <w:bookmarkStart w:id="12" w:name="page13"/>
    <w:bookmarkEnd w:id="12"/>
    <w:p>
      <w:pPr>
        <w:ind w:right="200"/>
        <w:spacing w:after="0" w:line="280" w:lineRule="auto"/>
        <w:rPr>
          <w:sz w:val="20"/>
          <w:szCs w:val="20"/>
          <w:color w:val="auto"/>
        </w:rPr>
      </w:pPr>
      <w:r>
        <w:rPr>
          <w:rFonts w:ascii="Times New Roman" w:cs="Times New Roman" w:eastAsia="Times New Roman" w:hAnsi="Times New Roman"/>
          <w:sz w:val="18"/>
          <w:szCs w:val="18"/>
          <w:color w:val="auto"/>
        </w:rPr>
        <w:t>price of the property paid in fiscal 2000. NTIC has guaranteed up to $329,082 of Omni-Northern Ltd.’s $1,903,571 mortgage obligation with National City Bank, Cleveland, Ohio. The building is fully leased at present.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28"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color w:val="auto"/>
        </w:rPr>
        <w:t>Inflation in the U.S. and abroad historically has had little effect on NTIC’s business, results of operations or financial condition. NTIC’s business has not historically been seasonal.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NTIC is exposed to foreign currency exchange rate risk arising from its investments in its foreign corporate joint ventures and holding companies since NTIC’s fees for technical support and other services and dividend distributions from these foreign entities are paid in foreign currencies. NTIC’s principal exchange rate exposure is with the Euro, the Japanese yen, Korean won and the English pound against the U.S. dollar. NTIC does not hedge against its foreign currency exchange rate risk. Since NTIC’s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NTIC’s consolidated statement of income.</w:t>
      </w:r>
    </w:p>
    <w:p>
      <w:pPr>
        <w:spacing w:after="0" w:line="188"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3" w:lineRule="exact"/>
        <w:rPr>
          <w:sz w:val="20"/>
          <w:szCs w:val="20"/>
          <w:color w:val="auto"/>
        </w:rPr>
      </w:pPr>
    </w:p>
    <w:p>
      <w:pPr>
        <w:ind w:right="620"/>
        <w:spacing w:after="0" w:line="280" w:lineRule="auto"/>
        <w:rPr>
          <w:sz w:val="20"/>
          <w:szCs w:val="20"/>
          <w:color w:val="auto"/>
        </w:rPr>
      </w:pPr>
      <w:r>
        <w:rPr>
          <w:rFonts w:ascii="Times New Roman" w:cs="Times New Roman" w:eastAsia="Times New Roman" w:hAnsi="Times New Roman"/>
          <w:sz w:val="18"/>
          <w:szCs w:val="18"/>
          <w:color w:val="auto"/>
        </w:rPr>
        <w:t>NTIC’s demand line of credit bears interest at a rate based on LIBOR and thus may subject NTIC to some market risk on interest rates. There was no outstanding balance under this facility as of February 29, 2008, however, $600,000 was committed from the demand line to cover a letter of credit.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 no new related party transactions to be disclosed.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results of operations, and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Corporate Joint Ventures</w:t>
      </w:r>
    </w:p>
    <w:p>
      <w:pPr>
        <w:spacing w:after="0" w:line="22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NTIC’s investments in corporate joint ventures are accounted for using the equity method, except for React-NTI LLC which has been fully consolidated, due to the adoption of FIN 46R. Periodically, NTIC evaluates the investments for any impairment and assesses the future cash flow projections to determine if there are any going concern issues. If an investment were determined to be impaired, then a reserve would be created to reflect the impairment on the financial results of NTIC. NTIC’s evaluation of its investments in corporate joint ventures requires NTIC to make assumptions about future cash flows of its corporate joint ventures. These assumptions require significant judgment and actual results may differ from assumed or estimated amounts. NTIC’s investments in corporate joint ventures were $15,209,705 and $13,602,842 as of February 29, 2008 and August 31, 2007,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NTIC’s consolidated financial statements include the accounts of Northern Technologies International Corporation, its wholly owned subsidiaries, NTI Facilities, Inc. and Northern Technologies Holding Company, LLC, and its 75% owned subsidiary, React-NTI LLC. All significant intercompany transactions and balances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and Notes Receivable</w:t>
      </w:r>
    </w:p>
    <w:p>
      <w:pPr>
        <w:spacing w:after="0" w:line="22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economic conditions. Based on this evaluation, NTIC establishes a reserve for specific accounts and notes receivable that it believes are uncollectible, as well as an estimate of uncollectible receivables not specifically known. Deterioration in the financial condition of any key customer or a significant slowdown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 Accounts receivable have been reduced by an allowance for uncollectible accounts of $20,000 and $30,000 at February 29, 2008 and August 31, 2007,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ectPr>
          <w:pgSz w:w="11900" w:h="16838" w:orient="portrait"/>
          <w:cols w:equalWidth="0" w:num="1">
            <w:col w:w="11380"/>
          </w:cols>
          <w:pgMar w:left="240" w:top="121" w:right="279" w:bottom="163" w:gutter="0" w:footer="0" w:header="0"/>
        </w:sectPr>
      </w:pPr>
    </w:p>
    <w:bookmarkStart w:id="13" w:name="page14"/>
    <w:bookmarkEnd w:id="13"/>
    <w:p>
      <w:pPr>
        <w:spacing w:after="0" w:line="38"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In recognizing revenue, NTIC applies the provisions of the Securities and Exchange Commission Staff Accounting Bulletin No. 104, Revenue Recognition. NTIC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or distributor.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(Accumulated Other Comprehensive Income)</w:t>
      </w:r>
    </w:p>
    <w:p>
      <w:pPr>
        <w:spacing w:after="0" w:line="22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The functional currency of each international corporate joint venture is the applicable local currency. The translation of the applicable foreign currencies into U.S. dollars is performed for balance sheet accounts using current exchange rates in effect at the balance sheet date and for revenue and expense accounts using an average monthly exchange rate. Translation gains or losses are reported as an element of accumulated other comprehensive income.</w:t>
      </w:r>
    </w:p>
    <w:p>
      <w:pPr>
        <w:spacing w:after="0" w:line="176"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NTIC conducts all foreign transactions based on the U.S. dollar, except for its investments in various foreign corporate joint ventures and holding companies. The exchange rate differential relating to investments in foreign corporate joint ventures and holding companies is accounted for under the requirements of SFAS No. 52, “</w:t>
      </w:r>
      <w:r>
        <w:rPr>
          <w:rFonts w:ascii="Times New Roman" w:cs="Times New Roman" w:eastAsia="Times New Roman" w:hAnsi="Times New Roman"/>
          <w:sz w:val="18"/>
          <w:szCs w:val="18"/>
          <w:i w:val="1"/>
          <w:iCs w:val="1"/>
          <w:color w:val="auto"/>
        </w:rPr>
        <w:t>Foreign Currency Translation</w:t>
      </w:r>
      <w:r>
        <w:rPr>
          <w:rFonts w:ascii="Times New Roman" w:cs="Times New Roman" w:eastAsia="Times New Roman" w:hAnsi="Times New Roman"/>
          <w:sz w:val="18"/>
          <w:szCs w:val="18"/>
          <w:color w:val="auto"/>
        </w:rPr>
        <w:t>.” Since NTIC’s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NTIC’s consolidated statement of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December 2004, FASB published FASB Statement No. 123 (revised 2004),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FAS 123(R) requires that the compensation cost relating to share-based payment transactions, including grants of employee stock options, be recognized in financial statements. That cost will be measured based on the fair value of the equity or liability instruments issued. FAS 123(R) covers a wide range of share-based compensation arrangements including stock options, restricted share plans, performance-based awards, share appreciation rights and employee share purchase plans. FAS 123(R) is a replacement of FASB Statement No. 123, “</w:t>
      </w:r>
      <w:r>
        <w:rPr>
          <w:rFonts w:ascii="Times New Roman" w:cs="Times New Roman" w:eastAsia="Times New Roman" w:hAnsi="Times New Roman"/>
          <w:sz w:val="18"/>
          <w:szCs w:val="18"/>
          <w:i w:val="1"/>
          <w:iCs w:val="1"/>
          <w:color w:val="auto"/>
        </w:rPr>
        <w:t>Accounting for Stock-Based Compensation</w:t>
      </w:r>
      <w:r>
        <w:rPr>
          <w:rFonts w:ascii="Times New Roman" w:cs="Times New Roman" w:eastAsia="Times New Roman" w:hAnsi="Times New Roman"/>
          <w:sz w:val="18"/>
          <w:szCs w:val="18"/>
          <w:color w:val="auto"/>
        </w:rPr>
        <w:t>,” and supersedes APB Opinion No. 25, “</w:t>
      </w:r>
      <w:r>
        <w:rPr>
          <w:rFonts w:ascii="Times New Roman" w:cs="Times New Roman" w:eastAsia="Times New Roman" w:hAnsi="Times New Roman"/>
          <w:sz w:val="18"/>
          <w:szCs w:val="18"/>
          <w:i w:val="1"/>
          <w:iCs w:val="1"/>
          <w:color w:val="auto"/>
        </w:rPr>
        <w:t>Accounting for Stock Issued to Employees</w:t>
      </w:r>
      <w:r>
        <w:rPr>
          <w:rFonts w:ascii="Times New Roman" w:cs="Times New Roman" w:eastAsia="Times New Roman" w:hAnsi="Times New Roman"/>
          <w:sz w:val="18"/>
          <w:szCs w:val="18"/>
          <w:color w:val="auto"/>
        </w:rPr>
        <w:t>,” and its related interpretive guidance. The effect of FAS 123(R) is to require entities to measure the cost of employee services received in exchange for stock options based on the grant-date fair value of the award, and to recognize the cost over the period the employee is required to provide services for the award. FAS 123(R) permits entities to use any option-pricing model that meets the fair value objective in FAS 123(R). NTIC implemented FAS 123(R) on September 1, 2006, using the modified prospective transition method.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This report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its behalf may make forward-looking statements from time to time in oral presentations, including telephone conferences and/or web casts open to the public, in press releases or reports, on NTIC’s Internet web sites or otherwise. All statements other than statements of historical facts included in this report that address activities, events or developments that NTIC expects, believes or anticipates will or may occur in the future are forward-looking statements including, in particular, the statements about NTIC’s plans, objectives, strategies and prospects regarding, among other things, its financial condition, results of operations and business. NTIC has identified some of these forward-looking statements with words like “believe,” “may,” “could,” “might,” “forecast,” “possible,” “potential,” “project,” “will,” “should,” “expect,” “intend,” “plan,” “predict,” “anticipate,” “estimate,” “approximate” or “continue” and other words and terms of similar meaning. These forward-looking statements may be contained in the notes to NTIC’s consolidated financial statements and elsewhere in this report, including under the heading “Part 1. Financial Information. Item 2. Management’s Discussion and Analysis or Plan of Operation.”</w:t>
      </w:r>
    </w:p>
    <w:p>
      <w:pPr>
        <w:spacing w:after="0" w:line="19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under the heading “Risk Factors” below, as well as others that NTIC may consider immaterial or does not anticipate at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risks and uncertainties, including those described below under the heading “Risk Factors.” The risks and uncertainties described under the heading “Risk Factors” below are not exclusive and further information concerning NTIC and its business, including factors that potentially could materially affect its financial results or condition, may emerge from time to time. NTIC assumes no obligation to update forward-looking statements to reflect actual results or changes in factors or assumptions affecting such forward-looking statements. NTIC advises you, however, to consult any further disclosures it may make on related subjects in its Annual Reports on Form 10-KSB, Quarterly Reports on Form 10-QSB and Current Reports on Form 8-K that NTIC files with or furnishes to the Securities and Exchange Commission.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most significant factors known to NTIC that could materially adversely affect its business, financial condition or operating results.</w:t>
      </w:r>
    </w:p>
    <w:p>
      <w:pPr>
        <w:spacing w:after="0" w:line="22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NTIC’s historical consolidated net sales were dependent upon a single React Inc. customer, which has indicated a desire not to purchase any future products from NTIC or its subsidiaries. As a result, NTIC’s fiscal 2008 have been materially harmed and NTIC’s future consolidated net sales will continue to be materially harmed.</w:t>
      </w:r>
    </w:p>
    <w:p>
      <w:pPr>
        <w:spacing w:after="0" w:line="1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 customer of NTIC’s React-NTI, LLC joint venture accounted for, in the aggregate, approximately 28.0% and 26.6% of NTIC’s consolidated net sales for the fiscal year ended August 31, 2007 and 2006. As described in more detail under the heading “Part I. Financial Information. Item 2. Management’s Discussion and Analysis or Plan of Operation—Financial Overview,” during fourth quarter of fiscal 2007, this customer notified React that it would place future orders</w:t>
      </w:r>
    </w:p>
    <w:p>
      <w:pPr>
        <w:sectPr>
          <w:pgSz w:w="11900" w:h="16877" w:orient="portrait"/>
          <w:cols w:equalWidth="0" w:num="1">
            <w:col w:w="11420"/>
          </w:cols>
          <w:pgMar w:left="240" w:top="121" w:right="239" w:bottom="0" w:gutter="0" w:footer="0" w:header="0"/>
        </w:sectPr>
      </w:pPr>
    </w:p>
    <w:bookmarkStart w:id="14" w:name="page15"/>
    <w:bookmarkEnd w:id="14"/>
    <w:p>
      <w:pPr>
        <w:ind w:right="20"/>
        <w:spacing w:after="0" w:line="254" w:lineRule="auto"/>
        <w:rPr>
          <w:sz w:val="20"/>
          <w:szCs w:val="20"/>
          <w:color w:val="auto"/>
        </w:rPr>
      </w:pPr>
      <w:r>
        <w:rPr>
          <w:rFonts w:ascii="Times New Roman" w:cs="Times New Roman" w:eastAsia="Times New Roman" w:hAnsi="Times New Roman"/>
          <w:sz w:val="18"/>
          <w:szCs w:val="18"/>
          <w:color w:val="auto"/>
        </w:rPr>
        <w:t>for React’s remaining inventory of ink additives, but that after such inventory was purchased, the customer would not place any future orders. The loss of this customer has had a material adverse impact on NTIC’s consolidated net sales for fiscal 2008 and NTIC anticipates that the loss of this customer will continue to have a material adverse impact on NTIC’s consolidated net sales thereafter. However, since the margins on React’s sales of the ink additives to this customer were extremely small, the loss of this customer did not have a material adverse effect on NTIC’s consolidated net income for the first and second quarters of fiscal 2008 and NTIC does not expect that the anticipated continued decrease in net sales by React will have a material adverse effect on NTIC’s future consolidated net income. No assurance can be provided, however, that the loss of this customer will not have a material adverse effect on NTIC’s future consolidated net income.</w:t>
      </w:r>
    </w:p>
    <w:p>
      <w:pPr>
        <w:spacing w:after="0" w:line="189" w:lineRule="exact"/>
        <w:rPr>
          <w:sz w:val="20"/>
          <w:szCs w:val="20"/>
          <w:color w:val="auto"/>
        </w:rPr>
      </w:pPr>
    </w:p>
    <w:p>
      <w:pPr>
        <w:ind w:right="24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The automotive industry in the United States has experienced contraction in recent years thus resulting in decreased demand for NTIC’s Zerust</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b w:val="1"/>
          <w:bCs w:val="1"/>
          <w:i w:val="1"/>
          <w:iCs w:val="1"/>
          <w:color w:val="auto"/>
        </w:rPr>
        <w:t xml:space="preserve"> products in the United States, which has adversely affected and may continue to adversely affect NTIC’s net sales from North American operations and net income.</w:t>
      </w:r>
    </w:p>
    <w:p>
      <w:pPr>
        <w:spacing w:after="0" w:line="19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During the fiscal year ended August 31, 2007 and during the six months ended February 29, 2008, over 70% and 82.1%, respectively, of NTIC’s consolidated net sales were derived from the sales of Zerust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rust and corrosion inhibiting packaging products and services. Most of these products and services were sold to customers in the automotive industry and to a lesser extent to customers in the electronics, electrical, mechanical, military and retail consumer markets. The automotive industry in the United States has experienced contraction in recent years and is not expected to improve in the foreseeable future, which may result in a continued adverse effect on NTIC’s net sales from North American operations and net income. While NTIC intends to increase marketing efforts of</w:t>
      </w:r>
    </w:p>
    <w:p>
      <w:pPr>
        <w:spacing w:after="0" w:line="4" w:lineRule="exact"/>
        <w:rPr>
          <w:sz w:val="20"/>
          <w:szCs w:val="20"/>
          <w:color w:val="auto"/>
        </w:rPr>
      </w:pPr>
    </w:p>
    <w:p>
      <w:pPr>
        <w:ind w:right="620"/>
        <w:spacing w:after="0" w:line="209" w:lineRule="auto"/>
        <w:rPr>
          <w:sz w:val="20"/>
          <w:szCs w:val="20"/>
          <w:color w:val="auto"/>
        </w:rPr>
      </w:pPr>
      <w:r>
        <w:rPr>
          <w:rFonts w:ascii="Times New Roman" w:cs="Times New Roman" w:eastAsia="Times New Roman" w:hAnsi="Times New Roman"/>
          <w:sz w:val="18"/>
          <w:szCs w:val="18"/>
          <w:color w:val="auto"/>
        </w:rPr>
        <w:t>its Zerust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services to customers in other target industries, no assurance can be provided that NTIC will be successful in doing so or will recognize increased sales from such new target markets.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NTIC intends to invest additional research and development and marketing efforts and resources to expand its existing product lines and the distribution of its products into new target markets, such as the oil and gas industry. No assurance can be provided, however, that NTIC’s investments in such new products and markets will be successful and result in additional revenue.</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an effort to increase net sales, NTIC is expanding its corrosion solution products into new markets, such as the oil and gas industry, and expanding its product lines to include other products, such as biodegradable and compostable plastics, plastic recycling technology and corrosion solutions in the oil and gas industry. During fiscal 2008, NTIC expects to make additional research and development and marketing efforts and invest additional resources into these new product lines and markets. During the first six months of fiscal 2008, NTIC invested approximately $1,450,720 in additional research and development and marketing efforts and resources into these emerging businesses, product lines and markets. NTIC anticipates additional revenue from these new technologies in fiscal year ending August 31, 2008. Although NTIC recognized $102,707 in sales of Natur-Tec™ for the six months ended February 29, 2008, no assurance can be provided that such new businesses will be successful or that NTIC will be successful in obtaining additional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NTIC’s emerging new businesses are risky and may not prove to be successful, which could harm NTIC’s operating results and financial condition.</w:t>
      </w:r>
    </w:p>
    <w:p>
      <w:pPr>
        <w:spacing w:after="0" w:line="228" w:lineRule="exact"/>
        <w:rPr>
          <w:sz w:val="20"/>
          <w:szCs w:val="20"/>
          <w:color w:val="auto"/>
        </w:rPr>
      </w:pPr>
    </w:p>
    <w:p>
      <w:pPr>
        <w:jc w:val="both"/>
        <w:ind w:right="400"/>
        <w:spacing w:after="0" w:line="280" w:lineRule="auto"/>
        <w:rPr>
          <w:sz w:val="20"/>
          <w:szCs w:val="20"/>
          <w:color w:val="auto"/>
        </w:rPr>
      </w:pPr>
      <w:r>
        <w:rPr>
          <w:rFonts w:ascii="Times New Roman" w:cs="Times New Roman" w:eastAsia="Times New Roman" w:hAnsi="Times New Roman"/>
          <w:sz w:val="18"/>
          <w:szCs w:val="18"/>
          <w:color w:val="auto"/>
        </w:rPr>
        <w:t>NTIC is in the process of expanding its technologies into other applications and businesses. NTIC is undertaking these new businesses either directly or through joint ventures. Such new businesses are risky and subject to all of the risks inherent in the establishment of a new business enterprise, including:</w:t>
      </w:r>
    </w:p>
    <w:p>
      <w:pPr>
        <w:spacing w:after="0" w:line="163" w:lineRule="exact"/>
        <w:rPr>
          <w:sz w:val="20"/>
          <w:szCs w:val="20"/>
          <w:color w:val="auto"/>
        </w:rPr>
      </w:pPr>
    </w:p>
    <w:p>
      <w:pPr>
        <w:ind w:left="1280" w:hanging="291"/>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 operating history;</w:t>
      </w:r>
    </w:p>
    <w:p>
      <w:pPr>
        <w:spacing w:after="0" w:line="223" w:lineRule="exact"/>
        <w:rPr>
          <w:rFonts w:ascii="Times New Roman" w:cs="Times New Roman" w:eastAsia="Times New Roman" w:hAnsi="Times New Roman"/>
          <w:sz w:val="18"/>
          <w:szCs w:val="18"/>
          <w:color w:val="auto"/>
        </w:rPr>
      </w:pPr>
    </w:p>
    <w:p>
      <w:pPr>
        <w:ind w:left="1280" w:hanging="291"/>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commercialized products;</w:t>
      </w:r>
    </w:p>
    <w:p>
      <w:pPr>
        <w:spacing w:after="0" w:line="223" w:lineRule="exact"/>
        <w:rPr>
          <w:rFonts w:ascii="Times New Roman" w:cs="Times New Roman" w:eastAsia="Times New Roman" w:hAnsi="Times New Roman"/>
          <w:sz w:val="18"/>
          <w:szCs w:val="18"/>
          <w:color w:val="auto"/>
        </w:rPr>
      </w:pPr>
    </w:p>
    <w:p>
      <w:pPr>
        <w:ind w:left="1280" w:hanging="291"/>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capital and other resources;</w:t>
      </w:r>
    </w:p>
    <w:p>
      <w:pPr>
        <w:spacing w:after="0" w:line="223" w:lineRule="exact"/>
        <w:rPr>
          <w:rFonts w:ascii="Times New Roman" w:cs="Times New Roman" w:eastAsia="Times New Roman" w:hAnsi="Times New Roman"/>
          <w:sz w:val="18"/>
          <w:szCs w:val="18"/>
          <w:color w:val="auto"/>
        </w:rPr>
      </w:pPr>
    </w:p>
    <w:p>
      <w:pPr>
        <w:ind w:left="1280" w:hanging="291"/>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substantial and continual losses for such businesses for the foreseeable future;</w:t>
      </w:r>
    </w:p>
    <w:p>
      <w:pPr>
        <w:spacing w:after="0" w:line="223" w:lineRule="exact"/>
        <w:rPr>
          <w:rFonts w:ascii="Times New Roman" w:cs="Times New Roman" w:eastAsia="Times New Roman" w:hAnsi="Times New Roman"/>
          <w:sz w:val="18"/>
          <w:szCs w:val="18"/>
          <w:color w:val="auto"/>
        </w:rPr>
      </w:pPr>
    </w:p>
    <w:p>
      <w:pPr>
        <w:ind w:left="1280" w:hanging="291"/>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manufacturing experience and limited marketing experience;</w:t>
      </w:r>
    </w:p>
    <w:p>
      <w:pPr>
        <w:spacing w:after="0" w:line="223" w:lineRule="exact"/>
        <w:rPr>
          <w:rFonts w:ascii="Times New Roman" w:cs="Times New Roman" w:eastAsia="Times New Roman" w:hAnsi="Times New Roman"/>
          <w:sz w:val="18"/>
          <w:szCs w:val="18"/>
          <w:color w:val="auto"/>
        </w:rPr>
      </w:pPr>
    </w:p>
    <w:p>
      <w:pPr>
        <w:ind w:left="1280" w:hanging="291"/>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expected reliance on third parties for the commercialization of some of the proposed products;</w:t>
      </w:r>
    </w:p>
    <w:p>
      <w:pPr>
        <w:spacing w:after="0" w:line="223" w:lineRule="exact"/>
        <w:rPr>
          <w:rFonts w:ascii="Times New Roman" w:cs="Times New Roman" w:eastAsia="Times New Roman" w:hAnsi="Times New Roman"/>
          <w:sz w:val="18"/>
          <w:szCs w:val="18"/>
          <w:color w:val="auto"/>
        </w:rPr>
      </w:pPr>
    </w:p>
    <w:p>
      <w:pPr>
        <w:ind w:left="1280" w:hanging="291"/>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competitive environment characterized by numerous, well-established and well-capitalized competitors; and</w:t>
      </w:r>
    </w:p>
    <w:p>
      <w:pPr>
        <w:spacing w:after="0" w:line="223" w:lineRule="exact"/>
        <w:rPr>
          <w:rFonts w:ascii="Times New Roman" w:cs="Times New Roman" w:eastAsia="Times New Roman" w:hAnsi="Times New Roman"/>
          <w:sz w:val="18"/>
          <w:szCs w:val="18"/>
          <w:color w:val="auto"/>
        </w:rPr>
      </w:pPr>
    </w:p>
    <w:p>
      <w:pPr>
        <w:ind w:left="1280" w:hanging="291"/>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personnel.</w:t>
      </w:r>
    </w:p>
    <w:p>
      <w:pPr>
        <w:spacing w:after="0" w:line="22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NTIC’s consolidated net sales, including corporate joint venture sales, are generated outside of the U.S. and NTIC intends to continue to expand its international operations. NTIC’s international operations require management attention and financial resources and expose NTIC to difficulties and risks presented by international economic, political, legal, accounting and business factors.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NTIC offers direct on-site technical support on rust and corrosion issues in over 50 countries, and operates a marketing, distribution, and technical network through joint ventures in North America, South America, Europe, Asia and the Middle East. NTIC’s consolidated net sales, including the corporate joint venture sales, outside the United States were 25.8% and 20.8% of its total consolidated net sales for the six months ended February 29, 2008 and for the fiscal year ended August 31, 2007, respectively. One of NTIC’s strategic objectives is to expand its international operations. NTIC has recently entered into joint ventures in Indonesia, the Ukraine, Thailand and the United Arab Emirates. The expansion of NTIC’s existing international operations and entry into additional international markets requires management attention and financial resources. Many of the countries in which NTIC sells its products directly or indirectly through its corporate joint ventures, are, to some degree, subject to political, economic and/or social instability. NTIC’s international operations expose NTIC and its joint venture partners, representatives, agents and distributors to risks inherent in operating in foreign jurisdictions. These risks include:</w:t>
      </w:r>
    </w:p>
    <w:p>
      <w:pPr>
        <w:sectPr>
          <w:pgSz w:w="11900" w:h="16838" w:orient="portrait"/>
          <w:cols w:equalWidth="0" w:num="1">
            <w:col w:w="11400"/>
          </w:cols>
          <w:pgMar w:left="240" w:top="121" w:right="259" w:bottom="2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00"/>
          </w:cols>
          <w:pgMar w:left="240" w:top="121" w:right="259" w:bottom="212" w:gutter="0" w:footer="0" w:header="0"/>
          <w:type w:val="continuous"/>
        </w:sectPr>
      </w:pPr>
    </w:p>
    <w:bookmarkStart w:id="15" w:name="page16"/>
    <w:bookmarkEnd w:id="15"/>
    <w:p>
      <w:pPr>
        <w:ind w:left="660" w:right="580" w:hanging="329"/>
        <w:spacing w:after="0" w:line="280" w:lineRule="auto"/>
        <w:tabs>
          <w:tab w:leader="none" w:pos="6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operations and the required infrastructure costs including legal, tax, accounting, information technology;</w:t>
      </w:r>
    </w:p>
    <w:p>
      <w:pPr>
        <w:spacing w:after="0" w:line="163" w:lineRule="exact"/>
        <w:rPr>
          <w:rFonts w:ascii="Times New Roman" w:cs="Times New Roman" w:eastAsia="Times New Roman" w:hAnsi="Times New Roman"/>
          <w:sz w:val="18"/>
          <w:szCs w:val="18"/>
          <w:color w:val="auto"/>
        </w:rPr>
      </w:pPr>
    </w:p>
    <w:p>
      <w:pPr>
        <w:jc w:val="both"/>
        <w:ind w:left="660" w:right="160" w:hanging="329"/>
        <w:spacing w:after="0" w:line="265" w:lineRule="auto"/>
        <w:tabs>
          <w:tab w:leader="none" w:pos="6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75" w:lineRule="exact"/>
        <w:rPr>
          <w:rFonts w:ascii="Times New Roman" w:cs="Times New Roman" w:eastAsia="Times New Roman" w:hAnsi="Times New Roman"/>
          <w:sz w:val="18"/>
          <w:szCs w:val="18"/>
          <w:color w:val="auto"/>
        </w:rPr>
      </w:pPr>
    </w:p>
    <w:p>
      <w:pPr>
        <w:ind w:left="660" w:right="120" w:hanging="329"/>
        <w:spacing w:after="0" w:line="280" w:lineRule="auto"/>
        <w:tabs>
          <w:tab w:leader="none" w:pos="6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spacing w:after="0" w:line="163" w:lineRule="exact"/>
        <w:rPr>
          <w:rFonts w:ascii="Times New Roman" w:cs="Times New Roman" w:eastAsia="Times New Roman" w:hAnsi="Times New Roman"/>
          <w:sz w:val="18"/>
          <w:szCs w:val="18"/>
          <w:color w:val="auto"/>
        </w:rPr>
      </w:pPr>
    </w:p>
    <w:p>
      <w:pPr>
        <w:ind w:left="620" w:hanging="289"/>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that NTIC or its corporate joint ventures may experience internationally;</w:t>
      </w:r>
    </w:p>
    <w:p>
      <w:pPr>
        <w:spacing w:after="0" w:line="223" w:lineRule="exact"/>
        <w:rPr>
          <w:rFonts w:ascii="Times New Roman" w:cs="Times New Roman" w:eastAsia="Times New Roman" w:hAnsi="Times New Roman"/>
          <w:sz w:val="18"/>
          <w:szCs w:val="18"/>
          <w:color w:val="auto"/>
        </w:rPr>
      </w:pPr>
    </w:p>
    <w:p>
      <w:pPr>
        <w:ind w:left="620" w:hanging="289"/>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223" w:lineRule="exact"/>
        <w:rPr>
          <w:rFonts w:ascii="Times New Roman" w:cs="Times New Roman" w:eastAsia="Times New Roman" w:hAnsi="Times New Roman"/>
          <w:sz w:val="18"/>
          <w:szCs w:val="18"/>
          <w:color w:val="auto"/>
        </w:rPr>
      </w:pPr>
    </w:p>
    <w:p>
      <w:pPr>
        <w:ind w:left="620" w:hanging="289"/>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223" w:lineRule="exact"/>
        <w:rPr>
          <w:rFonts w:ascii="Times New Roman" w:cs="Times New Roman" w:eastAsia="Times New Roman" w:hAnsi="Times New Roman"/>
          <w:sz w:val="18"/>
          <w:szCs w:val="18"/>
          <w:color w:val="auto"/>
        </w:rPr>
      </w:pPr>
    </w:p>
    <w:p>
      <w:pPr>
        <w:ind w:left="620" w:hanging="289"/>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difficulties in enforcing agreements and collecting receivables through certain foreign legal systems;</w:t>
      </w:r>
    </w:p>
    <w:p>
      <w:pPr>
        <w:spacing w:after="0" w:line="223" w:lineRule="exact"/>
        <w:rPr>
          <w:rFonts w:ascii="Times New Roman" w:cs="Times New Roman" w:eastAsia="Times New Roman" w:hAnsi="Times New Roman"/>
          <w:sz w:val="18"/>
          <w:szCs w:val="18"/>
          <w:color w:val="auto"/>
        </w:rPr>
      </w:pPr>
    </w:p>
    <w:p>
      <w:pPr>
        <w:ind w:left="620" w:hanging="289"/>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or defending intellectual property rights; and</w:t>
      </w:r>
    </w:p>
    <w:p>
      <w:pPr>
        <w:spacing w:after="0" w:line="223" w:lineRule="exact"/>
        <w:rPr>
          <w:rFonts w:ascii="Times New Roman" w:cs="Times New Roman" w:eastAsia="Times New Roman" w:hAnsi="Times New Roman"/>
          <w:sz w:val="18"/>
          <w:szCs w:val="18"/>
          <w:color w:val="auto"/>
        </w:rPr>
      </w:pPr>
    </w:p>
    <w:p>
      <w:pPr>
        <w:ind w:left="620" w:hanging="289"/>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changing and often inconsistent enforcement of laws and regulations.</w:t>
      </w:r>
    </w:p>
    <w:p>
      <w:pPr>
        <w:spacing w:after="0" w:line="224"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color w:val="auto"/>
        </w:rPr>
        <w:t>NTIC cannot assure you that one or more of the factors listed above will not harm its business. Any material decrease in NTIC’s international sales could adversely affect NTIC’s operating results.</w:t>
      </w:r>
    </w:p>
    <w:p>
      <w:pPr>
        <w:spacing w:after="0" w:line="159"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NTIC’s liquidity and financial position rely on dividend distributions from its corporate joint ventures, which if such dividends cease or are reduced could adversely affect NTIC’s liquidity and financial position.</w:t>
      </w:r>
    </w:p>
    <w:p>
      <w:pPr>
        <w:spacing w:after="0" w:line="15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NTIC’s liquidity and financial position rely on dividend distributions from its corporate joint ventures. During the six months ended February 29, 2008 and the fiscal year ended August 31, 2007, NTIC received approximately $1,470,508 and $1,643,000, respectively, in dividends from its corporate joint ventures. Because NTIC typically owns only 50% or less of its joint venture entities, NTIC does not control the decisions of these entities regarding whether to pay dividends and how much in dividends should be paid in any given year. Thus, NTIC cannot guarantee that any of its joint ventures will pay dividends in any given year. The failure of NTIC’s joint ventures to declare dividends in amounts typically expected by NTIC could adversely affect NTIC’s liquidity and financial position.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could result in declines in NTIC’s reported consolidated net sales and net income.</w:t>
      </w:r>
    </w:p>
    <w:p>
      <w:pPr>
        <w:spacing w:after="0" w:line="2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corporate joint ventures and holding companies is the applicable local currency, NTIC is exposed to foreign currency exchange rate risk arising from transactions in the normal course of business since NTIC’s fees for technical support and other services and dividend distributions from these foreign entities are paid in foreign currencies. NTIC’s reported consolidated net sales and net income are subject to fluctuations in foreign exchange rates. NTIC’s principal exchange rate exposure is with the Euro, the Japanese yen, Korean won and the English pound against the U.S. dollar. NTIC does not hedge against its foreign currency exchange rate risk. Since NTIC’s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NTIC’s consolidated statements of income.</w:t>
      </w:r>
    </w:p>
    <w:p>
      <w:pPr>
        <w:spacing w:after="0" w:line="182"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NTIC’s compliance with U.S. generally accepted accounting principles and any changes in such principles might adversely affect NTIC’s operating results and financial condition. Any requirement to consolidate NTIC’s corporate joint ventures or subject them to compliance with the internal control provisions of the Sarbanes-Oxley Act of 2002 could adversely affect NTIC’s operating results and financial condition.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NTIC adopted accounting policy FASB Interpretation No. 46R (FIN 46R), “</w:t>
      </w:r>
      <w:r>
        <w:rPr>
          <w:rFonts w:ascii="Times New Roman" w:cs="Times New Roman" w:eastAsia="Times New Roman" w:hAnsi="Times New Roman"/>
          <w:sz w:val="18"/>
          <w:szCs w:val="18"/>
          <w:i w:val="1"/>
          <w:iCs w:val="1"/>
          <w:color w:val="auto"/>
        </w:rPr>
        <w:t>Consolidation of Variable Interest Entities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 revision of FIN 46”</w:t>
      </w:r>
      <w:r>
        <w:rPr>
          <w:rFonts w:ascii="Times New Roman" w:cs="Times New Roman" w:eastAsia="Times New Roman" w:hAnsi="Times New Roman"/>
          <w:sz w:val="18"/>
          <w:szCs w:val="18"/>
          <w:color w:val="auto"/>
        </w:rPr>
        <w:t xml:space="preserve"> effective as of February 28, 2005. As a result of FIN 46R, NTIC consolidated React-NTI LLC, one of its corporate joint ventures that is 75% owned by NTIC. If the interpretation of FIN 46R were to change and NTIC were required to fully consolidate the remaining 28 of its corporate joint ventures or if NTIC’s corporate joint ventures otherwise would be required to be in compliance with the internal control provisions of the Sarbanes-Oxley Act of 2002, NTIC would incur significant additional costs. NTIC estimates that the costs for each of its corporate joint ventures to become Sarbanes-Oxley compliant would range between $150,000 to $500,000 and that annual maintenance expenses would range from $50,000 to $100,000 per year per corporate joint venture thereafter. In addition, other accounting pronouncements issued in the future could have a material cost associated with NTIC’s implementation of such new accounting pronouncements.</w:t>
      </w:r>
    </w:p>
    <w:p>
      <w:pPr>
        <w:spacing w:after="0" w:line="184" w:lineRule="exact"/>
        <w:rPr>
          <w:sz w:val="20"/>
          <w:szCs w:val="20"/>
          <w:color w:val="auto"/>
        </w:rPr>
      </w:pPr>
    </w:p>
    <w:p>
      <w:pPr>
        <w:jc w:val="both"/>
        <w:ind w:right="3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One of NTIC’s principal stockholders beneficially owns 24.9% of NTIC’s outstanding common stock and is affiliated with NTIC’s President and Chief Executive Officer and thus may be able influence matters requiring stockholder approval, including the election of directors, and could discourage or otherwise impede a transaction in which a third party wishes to purchase NTIC’s outstanding shares at a premium.</w:t>
      </w:r>
    </w:p>
    <w:p>
      <w:pPr>
        <w:spacing w:after="0" w:line="17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As of April 10, 2007, Inter Alia Holding Company beneficially owned approximately 24.5% of NTIC’s outstanding common stock. Inter Alia is an entity owned by, among others, G. Patrick Lynch, NTIC’s President and Chief Executive Officer and a director, and Philip M. Lynch, NTIC’s former Chairman of the Board and Chief Executive Officer and current Chairman Emeritus. G. Patrick Lynch is the son of Philip M. Lynch. Messrs. G.P. Lynch and P.M. Lynch share voting and dispositive power of shares of NTIC’s common stock held by Inter Alia Holding Company. As a result of his share ownership through Inter Alia and his position as President and Chief Executive Officer and a director of NTIC, Mr. G.P. Lynch may be able to influence the affairs and actions of NTIC, including matters requiring stockholder approval, such as the election of directors and approval of significant corporate transactions. The interests of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w:t>
      </w:r>
    </w:p>
    <w:p>
      <w:pPr>
        <w:sectPr>
          <w:pgSz w:w="11900" w:h="16838" w:orient="portrait"/>
          <w:cols w:equalWidth="0" w:num="1">
            <w:col w:w="11400"/>
          </w:cols>
          <w:pgMar w:left="240" w:top="337" w:right="259" w:bottom="0" w:gutter="0" w:footer="0" w:header="0"/>
        </w:sectPr>
      </w:pPr>
    </w:p>
    <w:bookmarkStart w:id="16" w:name="page17"/>
    <w:bookmarkEnd w:id="16"/>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172" w:lineRule="exact"/>
        <w:rPr>
          <w:sz w:val="20"/>
          <w:szCs w:val="20"/>
          <w:color w:val="auto"/>
        </w:rPr>
      </w:pPr>
    </w:p>
    <w:p>
      <w:pPr>
        <w:ind w:right="6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NTIC is currently involved in litigation over its trademark on the use of the color Yellow in corrosion inhibiting packaging, the loss of which could adversely affect NTIC’s business.</w:t>
      </w:r>
    </w:p>
    <w:p>
      <w:pPr>
        <w:spacing w:after="0" w:line="15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One of NTIC’s important trademarks for its business is the trademark for the color Yellow. NTIC is currently involved in litigation against a competitor over this trademark. NTIC has also in the past successfully prosecuted infringement claims against other competitors and third parties for their use of the color Yellow. If NTIC were to lose this current or any future litigation over its trademark for the color Yellow, NTIC could be in a more difficult position to enforce its rights to this trademark in other countries and against other third parties. NTIC believes that the loss of its trademark for the color Yellow could have an adverse effect on NTIC’s business.</w:t>
      </w:r>
    </w:p>
    <w:p>
      <w:pPr>
        <w:spacing w:after="0" w:line="18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NTIC’s business, properties and products are subject to governmental regulation and taxes with which compliance may require NTIC to incur expenses or modify its products or operations and may expose NTIC to penalties for non-compliance. Governmental regulation may also adversely affect the demand for some of NTIC’s products and NTIC’s operating results.</w:t>
      </w:r>
    </w:p>
    <w:p>
      <w:pPr>
        <w:spacing w:after="0" w:line="17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other regulated materials. These laws, rules and regulations may affect the way NTIC conducts its operations, and the failure to comply with these regulations could lead to fines and other penalties.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of which may harm NTIC’s business or may adversely affect the demand for some of its products. Changes in laws and regulations, including changes in accounting standards and taxation changes, including tax rate changes, new tax laws, revised tax law interpretations, also may adversely affect NTIC’s operating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 intends to grow its business through additional joint ventures, alliances and acquisitions, which could be risky and harm its business.</w:t>
      </w:r>
    </w:p>
    <w:p>
      <w:pPr>
        <w:spacing w:after="0" w:line="22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One of NTIC’s growth strategies is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180" w:lineRule="exact"/>
        <w:rPr>
          <w:sz w:val="20"/>
          <w:szCs w:val="20"/>
          <w:color w:val="auto"/>
        </w:rPr>
      </w:pPr>
    </w:p>
    <w:p>
      <w:pPr>
        <w:ind w:left="620" w:hanging="289"/>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w:t>
      </w:r>
    </w:p>
    <w:p>
      <w:pPr>
        <w:spacing w:after="0" w:line="223" w:lineRule="exact"/>
        <w:rPr>
          <w:rFonts w:ascii="Times New Roman" w:cs="Times New Roman" w:eastAsia="Times New Roman" w:hAnsi="Times New Roman"/>
          <w:sz w:val="18"/>
          <w:szCs w:val="18"/>
          <w:color w:val="auto"/>
        </w:rPr>
      </w:pPr>
    </w:p>
    <w:p>
      <w:pPr>
        <w:ind w:left="660" w:right="680" w:hanging="329"/>
        <w:spacing w:after="0" w:line="280" w:lineRule="auto"/>
        <w:tabs>
          <w:tab w:leader="none" w:pos="6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assimilating the operations and products of an acquired business or in realizing projected efficiencies, cost savings and revenue synergies;</w:t>
      </w:r>
    </w:p>
    <w:p>
      <w:pPr>
        <w:spacing w:after="0" w:line="163" w:lineRule="exact"/>
        <w:rPr>
          <w:rFonts w:ascii="Times New Roman" w:cs="Times New Roman" w:eastAsia="Times New Roman" w:hAnsi="Times New Roman"/>
          <w:sz w:val="18"/>
          <w:szCs w:val="18"/>
          <w:color w:val="auto"/>
        </w:rPr>
      </w:pPr>
    </w:p>
    <w:p>
      <w:pPr>
        <w:ind w:left="660" w:right="540" w:hanging="329"/>
        <w:spacing w:after="0" w:line="280" w:lineRule="auto"/>
        <w:tabs>
          <w:tab w:leader="none" w:pos="6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or customers of the acquired businesses or adverse effects on existing business relationships with suppliers and customers;</w:t>
      </w:r>
    </w:p>
    <w:p>
      <w:pPr>
        <w:spacing w:after="0" w:line="163" w:lineRule="exact"/>
        <w:rPr>
          <w:rFonts w:ascii="Times New Roman" w:cs="Times New Roman" w:eastAsia="Times New Roman" w:hAnsi="Times New Roman"/>
          <w:sz w:val="18"/>
          <w:szCs w:val="18"/>
          <w:color w:val="auto"/>
        </w:rPr>
      </w:pPr>
    </w:p>
    <w:p>
      <w:pPr>
        <w:ind w:left="620" w:hanging="289"/>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overall profitability if acquired businesses do not achieve the financial results projected in NTIC’s valuation models;</w:t>
      </w:r>
    </w:p>
    <w:p>
      <w:pPr>
        <w:spacing w:after="0" w:line="223" w:lineRule="exact"/>
        <w:rPr>
          <w:rFonts w:ascii="Times New Roman" w:cs="Times New Roman" w:eastAsia="Times New Roman" w:hAnsi="Times New Roman"/>
          <w:sz w:val="18"/>
          <w:szCs w:val="18"/>
          <w:color w:val="auto"/>
        </w:rPr>
      </w:pPr>
    </w:p>
    <w:p>
      <w:pPr>
        <w:ind w:left="660" w:hanging="329"/>
        <w:spacing w:after="0" w:line="265" w:lineRule="auto"/>
        <w:tabs>
          <w:tab w:leader="none" w:pos="6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reallocation of amounts of capital from other operating initiatives and/or an increase in NTIC’s leverage and debt service requirements to pay the acquisition purchase prices, which could in turn restrict NTIC’s ability to access additional capital when needed or to pursue other important elements of NTIC’s business strategy;</w:t>
      </w:r>
    </w:p>
    <w:p>
      <w:pPr>
        <w:spacing w:after="0" w:line="175" w:lineRule="exact"/>
        <w:rPr>
          <w:rFonts w:ascii="Times New Roman" w:cs="Times New Roman" w:eastAsia="Times New Roman" w:hAnsi="Times New Roman"/>
          <w:sz w:val="18"/>
          <w:szCs w:val="18"/>
          <w:color w:val="auto"/>
        </w:rPr>
      </w:pPr>
    </w:p>
    <w:p>
      <w:pPr>
        <w:ind w:left="620" w:hanging="289"/>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assessment of undisclosed, contingent or other liabilities or problems and unanticipated costs associated with the acquisition; and</w:t>
      </w:r>
    </w:p>
    <w:p>
      <w:pPr>
        <w:spacing w:after="0" w:line="223" w:lineRule="exact"/>
        <w:rPr>
          <w:rFonts w:ascii="Times New Roman" w:cs="Times New Roman" w:eastAsia="Times New Roman" w:hAnsi="Times New Roman"/>
          <w:sz w:val="18"/>
          <w:szCs w:val="18"/>
          <w:color w:val="auto"/>
        </w:rPr>
      </w:pPr>
    </w:p>
    <w:p>
      <w:pPr>
        <w:ind w:left="660" w:right="100" w:hanging="329"/>
        <w:spacing w:after="0" w:line="280" w:lineRule="auto"/>
        <w:tabs>
          <w:tab w:leader="none" w:pos="6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estimates made in the accounting for acquisitions, incurrence of non-recurring charges and write-off of significant amounts of goodwill that could adversely affect NTIC’s operating results.</w:t>
      </w:r>
    </w:p>
    <w:p>
      <w:pPr>
        <w:spacing w:after="0" w:line="163"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 relies on its independent distributors, manufacturer’s sales representatives and corporate joint ventures to market and sell its products.</w:t>
      </w:r>
    </w:p>
    <w:p>
      <w:pPr>
        <w:spacing w:after="0" w:line="22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In addition to its direct sales force, NTIC relies on its independent distributors, manufacturer’s sales representatives and corporate joint ventures to market and sell its products in the United States and internationally. NTIC’s independent distributors, manufacturer’s sales representatives and joint venture partners might terminate their relationship with NTIC, or devote insufficient sales efforts to NTIC’s products. NTIC does not control its independent distributors, manufacturer’s sales representatives and joint ventures and they may not be successful in implementing NTIC’s marketing plans. NTIC’s failure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21" w:right="239" w:bottom="589" w:gutter="0" w:footer="0" w:header="0"/>
        </w:sectPr>
      </w:pPr>
    </w:p>
    <w:bookmarkStart w:id="17" w:name="page18"/>
    <w:bookmarkEnd w:id="17"/>
    <w:p>
      <w:pPr>
        <w:ind w:right="80"/>
        <w:spacing w:after="0" w:line="311" w:lineRule="auto"/>
        <w:rPr>
          <w:sz w:val="20"/>
          <w:szCs w:val="20"/>
          <w:color w:val="auto"/>
        </w:rPr>
      </w:pPr>
      <w:r>
        <w:rPr>
          <w:rFonts w:ascii="Times New Roman" w:cs="Times New Roman" w:eastAsia="Times New Roman" w:hAnsi="Times New Roman"/>
          <w:sz w:val="17"/>
          <w:szCs w:val="17"/>
          <w:color w:val="auto"/>
        </w:rPr>
        <w:t>maintain its existing relationships with its independent distributors, manufacturer’s sales representatives and joint ventures, or its failure to recruit and retain additional skilled independent distributors, manufacturer’s sales representatives and joint venture partners could have an adverse effect on NTIC’s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 has very limited staffing and will continue to be dependent upon key employees.</w:t>
      </w:r>
    </w:p>
    <w:p>
      <w:pPr>
        <w:spacing w:after="0" w:line="22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NTIC’s success is dependent upon the efforts of a small management team and staff. NTIC’s future success will also depend in large part on its ability to retain these individuals and identify, attract and retain other highly qualified managerial, technical, sales and marketing and customer service personnel. Competition for these individuals is intense, especially in the markets in which NTIC operates. NTIC may not succeed in identifying, attracting and retaining these personnel. The current management, other than the President and Chief Executive Officer, do not have any material stock ownership in NTIC or any contractual obligation to maintain their employment with us. The loss or interruption of services of any of NTIC’s key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financial condition and operating results.</w:t>
      </w:r>
    </w:p>
    <w:p>
      <w:pPr>
        <w:spacing w:after="0" w:line="185"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NTIC’s business and operating results could be adversely affected.</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terrorist attacks and attacks by computer viruses or hackers, or power loss or computer systems, Internet, telecommunications or data network failure. Any such interruption could adversely affect NTIC’s business and operating results.</w:t>
      </w:r>
    </w:p>
    <w:p>
      <w:pPr>
        <w:spacing w:after="0" w:line="185"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NTIC’s reliance upon patents, trademark laws, trade secrets and contractual provisions to protect its proprietary rights may not be sufficient to protect its intellectual property from others who may sell similar products.</w:t>
      </w:r>
    </w:p>
    <w:p>
      <w:pPr>
        <w:spacing w:after="0" w:line="1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spacing w:after="0" w:line="19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 addition, NTIC relies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NTIC is unable to continue to enhance existing products and develop and market new products that respond to customer needs and achieve market acceptance, NTIC may experience a decrease in demand for its products, and its business could suffer.</w:t>
      </w:r>
    </w:p>
    <w:p>
      <w:pPr>
        <w:spacing w:after="0" w:line="158"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One of NTIC’s strategies is to enhance its existing products and develop and market new products that respond to customer needs. NTIC may not be able to compete effectively with its competitors unless NTIC can keep up with existing or new products in the markets in which it competes. Product development requires significant financial and other resources. Although in the past NTIC has implemented lean manufacturing and other productivity improvement initiatives to provide investment funding for new products, NTIC cannot assure you that it will be able to continue to do so in the future. Product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 faces intense competition in almost all of its product lines, including from competitors that have substantially greater resources than NTIC does.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 cannot assure you it will be able to compete effectively, which would harm its business and operating results.</w:t>
      </w:r>
    </w:p>
    <w:p>
      <w:pPr>
        <w:spacing w:after="0" w:line="20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NTIC’s products are sold in highly competitive markets throughout the world. The principal competitive factors in NTIC’s markets are pricing, product innovation, quality and reliability, product support and customer service and reputation. NTIC often competes with numerous manufacturers, many of who have substantially greater financial, marketing, and other resources than NTIC does. As a result, they may be able to adapt more quickly to new or emerging technologies and changes in customer requirements, or to devote greater resources to the promotion and sale of their products than NTIC can. In addition, competition could increase if new companies enter the market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NTIC cannot assure you that it will be able to compete effectively, which would harm its business and operating results.</w:t>
      </w:r>
    </w:p>
    <w:p>
      <w:pPr>
        <w:spacing w:after="0" w:line="182" w:lineRule="exact"/>
        <w:rPr>
          <w:sz w:val="20"/>
          <w:szCs w:val="20"/>
          <w:color w:val="auto"/>
        </w:rPr>
      </w:pPr>
    </w:p>
    <w:p>
      <w:pPr>
        <w:ind w:right="3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NTIC is currently involved in several litigation matters and an audit matter with the U.S. Internal Revenue Service, which are costly to defend and the resolution of which could have a material adverse effect on NTIC’s operating results and financial position.</w:t>
      </w:r>
    </w:p>
    <w:p>
      <w:pPr>
        <w:sectPr>
          <w:pgSz w:w="11900" w:h="16838" w:orient="portrait"/>
          <w:cols w:equalWidth="0" w:num="1">
            <w:col w:w="11400"/>
          </w:cols>
          <w:pgMar w:left="240" w:top="121" w:right="259" w:bottom="93" w:gutter="0" w:footer="0" w:header="0"/>
        </w:sectPr>
      </w:pPr>
    </w:p>
    <w:bookmarkStart w:id="18" w:name="page19"/>
    <w:bookmarkEnd w:id="18"/>
    <w:p>
      <w:pPr>
        <w:ind w:right="240"/>
        <w:spacing w:after="0" w:line="265" w:lineRule="auto"/>
        <w:rPr>
          <w:sz w:val="20"/>
          <w:szCs w:val="20"/>
          <w:color w:val="auto"/>
        </w:rPr>
      </w:pPr>
      <w:r>
        <w:rPr>
          <w:rFonts w:ascii="Times New Roman" w:cs="Times New Roman" w:eastAsia="Times New Roman" w:hAnsi="Times New Roman"/>
          <w:sz w:val="18"/>
          <w:szCs w:val="18"/>
          <w:color w:val="auto"/>
        </w:rPr>
        <w:t>NTIC is party to several litigation matters and an audit matter with the U.S. Internal Revenue Service as described in more detail in Note 9 to NTIC’s consolidated financial statements. Such litigation and audit matter are costly and may adversely affect NTIC’s operating results and financial condition. In addition, the resolution of such matters may also have a material adverse effect on NTIC’s operating results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NTIC is exposed to risks relating to its evaluation of its internal control over financial reporting as required by Section 404 of the Sarbanes-Oxley Act.</w:t>
      </w:r>
    </w:p>
    <w:p>
      <w:pPr>
        <w:spacing w:after="0" w:line="228"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Changing laws, regulations and standards relating to corporate governance and public disclosure, including the Sarbanes-Oxley Act of 2002 and related and other recent regulations implemented by the SEC and The American Stock Exchange, are creating uncertainty for public companies, increasing legal and financial compliance costs and making some activities more time consuming. NTIC will be evaluating its internal controls systems to allow management to report on, and its independent registered public accounting firm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attest to, NTIC’s internal control over financial reporting. NTIC will be performing the system and process evaluation and testing (and any necessary remediation) required to comply with the management certification and auditor attestation requirements of Section 404 of the Sarbanes-Oxley Act. NTIC cannot be certain as to the timing of completion of its evaluation, testing and remediation actions or the impact of the same on its operations since there is presently no precedent available by which to measure compliance adequacy. If NTIC is not able to implement the requirements of Section 404 in a timely manner or with adequate compliance, NTIC may be subject to sanctions or investigation by regulatory authorities, including the SEC or The American Stock Exchange. This type of action could adversely affect NTIC’s financial results or investors’ confidence in NTIC, and could cause NTIC’s stock price to decline. In addition, the controls and procedures that NTIC may implement may not comply with all of the relevant rules and regulations of the SEC and The American Stock Exchange. If NTIC fails to develop and maintain effective controls and procedures, it may be unable to provide the required financial information in a timely and reliable manner. In addition, NTIC’s efforts to comply with Section 404 of the Sarbanes-Oxley Act of 2002 and the related regulations regarding its assessment of its internal control over financial reporting and its independent registered public accounting firm’s report on that assessment will require the commitment of significant financial and managerial resources.</w:t>
      </w:r>
    </w:p>
    <w:p>
      <w:pPr>
        <w:spacing w:after="0" w:line="18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NTIC maintains disclosure controls and procedures (as defined in Rules 13a-15(e) and 15d-15(e) under the Securities Exchange Act of 1934, as amended) that are designed to reasonably ensure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and principal financial officers, or persons performing similar functions, as appropriate to allow timely decisions regarding required disclosure. In designing and evaluating NTIC’s disclosure controls and procedures, NTIC recognizes that any controls and procedures, no matter how well designed and operated can provide only reasonable assurance of achieving the desired control objectives and NTIC necessarily is required to apply its judgment in evaluating the cost-benefit relationship of possible controls and procedures.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NTIC’s Exchange Act reports is recorded, processed, summarized, and reported within the time periods specified in the SEC’s rules and forms, and that material information relating to NTIC and its consolidated subsidiaries is made known to management, including NTIC’s Chief Executive Officer and Chief Financial Officer, particularly during the period when NTIC’s periodic reports are being prepared.</w:t>
      </w:r>
    </w:p>
    <w:p>
      <w:pPr>
        <w:spacing w:after="0" w:line="18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NTIC’s management is aware, however, that there is a lack of segregation of duties due to the small number of employees of NTIC dealing with general administrative and financial matters. However, NTIC’s management has decided that considering the employees involved and the control procedures in place, risks associated with such lack of segregation are minimal and the potential benefits of adding employees to clearly segregate duties do not at this time justify the expenses associated with such increases.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8"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color w:val="auto"/>
        </w:rPr>
        <w:t>There was no change in NTIC’s internal control over financial reporting that occurred during the quarter ended February 29, 2008 that has materially affected, or is reasonably likely to materially affect NTIC’s internal control over financial reporting.</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8" w:lineRule="exact"/>
        <w:rPr>
          <w:sz w:val="20"/>
          <w:szCs w:val="20"/>
          <w:color w:val="auto"/>
        </w:rPr>
      </w:pPr>
    </w:p>
    <w:p>
      <w:pPr>
        <w:ind w:right="660"/>
        <w:spacing w:after="0" w:line="280" w:lineRule="auto"/>
        <w:rPr>
          <w:sz w:val="20"/>
          <w:szCs w:val="20"/>
          <w:color w:val="auto"/>
        </w:rPr>
      </w:pPr>
      <w:r>
        <w:rPr>
          <w:rFonts w:ascii="Times New Roman" w:cs="Times New Roman" w:eastAsia="Times New Roman" w:hAnsi="Times New Roman"/>
          <w:sz w:val="18"/>
          <w:szCs w:val="18"/>
          <w:color w:val="auto"/>
        </w:rPr>
        <w:t>A description of NTIC’s legal proceedings in Note 9 of NTIC’s consolidated financial statements included within this report is incorporated herein by reference.</w:t>
      </w:r>
    </w:p>
    <w:p>
      <w:pPr>
        <w:spacing w:after="0" w:line="159"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SMALL BUSINESS ISSUER PURCHASES OF EQUITY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8" w:lineRule="exact"/>
        <w:rPr>
          <w:sz w:val="20"/>
          <w:szCs w:val="20"/>
          <w:color w:val="auto"/>
        </w:rPr>
      </w:pPr>
    </w:p>
    <w:p>
      <w:pPr>
        <w:ind w:right="580"/>
        <w:spacing w:after="0" w:line="280" w:lineRule="auto"/>
        <w:rPr>
          <w:sz w:val="20"/>
          <w:szCs w:val="20"/>
          <w:color w:val="auto"/>
        </w:rPr>
      </w:pPr>
      <w:r>
        <w:rPr>
          <w:rFonts w:ascii="Times New Roman" w:cs="Times New Roman" w:eastAsia="Times New Roman" w:hAnsi="Times New Roman"/>
          <w:sz w:val="18"/>
          <w:szCs w:val="18"/>
          <w:color w:val="auto"/>
        </w:rPr>
        <w:t>During the three months ended February 29, 2008, NTIC did not issue any shares of its common stock or other equity securities of NTIC that were not registered under the Securities Act of 1933.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 Business Issuer Purchases of Equity Securities</w:t>
      </w:r>
    </w:p>
    <w:p>
      <w:pPr>
        <w:sectPr>
          <w:pgSz w:w="11900" w:h="16838" w:orient="portrait"/>
          <w:cols w:equalWidth="0" w:num="1">
            <w:col w:w="11400"/>
          </w:cols>
          <w:pgMar w:left="240" w:top="121" w:right="259" w:bottom="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During the three months ended February 29, 2008, NTIC did not purchase any shares of its common stock or other equity securities of NTIC.</w:t>
      </w:r>
    </w:p>
    <w:p>
      <w:pPr>
        <w:spacing w:after="0" w:line="224"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On November 13, 2003, the Board of Directors of NTIC authorized Matthew Wolsfeld, Chief Financial Officer of NTIC, to repurchase on behalf of NTIC, up to 100,000 shares of NTIC’s common stock from time to time in accordance with applicable rules governing issuer stock repurchases. Since being authorized, NTIC has repurchased and retired an aggregate of 44,200 shares of its common stock.</w:t>
      </w:r>
    </w:p>
    <w:p>
      <w:pPr>
        <w:spacing w:after="0" w:line="17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8" w:lineRule="exact"/>
        <w:rPr>
          <w:sz w:val="20"/>
          <w:szCs w:val="20"/>
          <w:color w:val="auto"/>
        </w:rPr>
      </w:pPr>
    </w:p>
    <w:p>
      <w:pPr>
        <w:ind w:left="560" w:hanging="552"/>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Meeting of Stockholders of NTIC was held on January 24, 2008.</w:t>
      </w:r>
    </w:p>
    <w:p>
      <w:pPr>
        <w:spacing w:after="0" w:line="223"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the stockholder votes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3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For</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4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Withheld</w:t>
            </w:r>
          </w:p>
        </w:tc>
        <w:tc>
          <w:tcPr>
            <w:tcW w:w="1400" w:type="dxa"/>
            <w:vAlign w:val="bottom"/>
            <w:gridSpan w:val="2"/>
            <w:vMerge w:val="continue"/>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Non-Vote</w:t>
            </w:r>
          </w:p>
        </w:tc>
        <w:tc>
          <w:tcPr>
            <w:tcW w:w="0" w:type="dxa"/>
            <w:vAlign w:val="bottom"/>
          </w:tcPr>
          <w:p>
            <w:pPr>
              <w:spacing w:after="0"/>
              <w:rPr>
                <w:sz w:val="1"/>
                <w:szCs w:val="1"/>
                <w:color w:val="auto"/>
              </w:rPr>
            </w:pPr>
          </w:p>
        </w:tc>
      </w:tr>
      <w:tr>
        <w:trPr>
          <w:trHeight w:val="195"/>
        </w:trPr>
        <w:tc>
          <w:tcPr>
            <w:tcW w:w="5840" w:type="dxa"/>
            <w:vAlign w:val="bottom"/>
            <w:tcBorders>
              <w:top w:val="single" w:sz="8" w:color="CCEEFF"/>
            </w:tcBorders>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1. Election of Directors</w:t>
            </w:r>
          </w:p>
        </w:tc>
        <w:tc>
          <w:tcPr>
            <w:tcW w:w="11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Pierre Chenu</w:t>
            </w:r>
          </w:p>
        </w:tc>
        <w:tc>
          <w:tcPr>
            <w:tcW w:w="4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3,044,307</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 Patrick Lynch</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3,048,857</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Dr. Donald A. Kubik</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3,042,969</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 J. Stone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3,049,057</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Dr. Sunggyu Lee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3,043,057</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Dr. Ramani Narayan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3,043,057</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Mark M. Mayers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2,062,015</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990,342</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gridSpan w:val="2"/>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84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2. Ratification of Appointment of independent Registered Public</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Accounting Firm</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3,044,100</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April 10, 2008, NTIC entered into a Promissory Note Modification Agreement with National City Bank pursuant to which NTIC’s demand line of credit was increased to $2,300,000 and its $1,500,000 revolving credit facility was terminated. Advances made under the demand line of credit will be made at the sole discretion of National City Bank and will be due and payable on demand. Outstanding amounts under the demand line of credit bear interest at an annual rate based on LIBOR plus 2.25%. Interest is payable in arrears on the 15th day of each month and on demand. As of April 10, 2008, no amounts had been borrowed by NTIC under the demand line of credit. A copy of the Promissory Note Modification Agreement has been filed as Exhibit 10.3 to this report and is incorporated herein by this reference.</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with this quarterly report on Form 10-QSB:</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660" w:type="dxa"/>
            <w:vAlign w:val="bottom"/>
          </w:tcPr>
          <w:p>
            <w:pPr>
              <w:ind w:left="4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80" w:type="dxa"/>
            <w:vAlign w:val="bottom"/>
          </w:tcPr>
          <w:p>
            <w:pPr>
              <w:spacing w:after="0"/>
              <w:rPr>
                <w:sz w:val="15"/>
                <w:szCs w:val="15"/>
                <w:color w:val="auto"/>
              </w:rPr>
            </w:pPr>
          </w:p>
        </w:tc>
      </w:tr>
      <w:tr>
        <w:trPr>
          <w:trHeight w:val="190"/>
        </w:trPr>
        <w:tc>
          <w:tcPr>
            <w:tcW w:w="1280" w:type="dxa"/>
            <w:vAlign w:val="bottom"/>
            <w:tcBorders>
              <w:top w:val="single" w:sz="8" w:color="auto"/>
            </w:tcBorders>
          </w:tcPr>
          <w:p>
            <w:pPr>
              <w:ind w:left="20"/>
              <w:spacing w:after="0" w:line="190"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6"/>
                <w:szCs w:val="16"/>
                <w:color w:val="auto"/>
              </w:rPr>
            </w:pPr>
          </w:p>
        </w:tc>
        <w:tc>
          <w:tcPr>
            <w:tcW w:w="966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8"/>
                <w:szCs w:val="18"/>
                <w:color w:val="auto"/>
              </w:rPr>
              <w:t>Promissory Note Modification Agreement dated January 31, 2008 between Northern Technologies International Corporation and</w:t>
            </w:r>
          </w:p>
        </w:tc>
        <w:tc>
          <w:tcPr>
            <w:tcW w:w="28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National City Bank</w:t>
            </w:r>
          </w:p>
        </w:tc>
        <w:tc>
          <w:tcPr>
            <w:tcW w:w="280" w:type="dxa"/>
            <w:vAlign w:val="bottom"/>
          </w:tcPr>
          <w:p>
            <w:pPr>
              <w:spacing w:after="0"/>
              <w:rPr>
                <w:sz w:val="20"/>
                <w:szCs w:val="20"/>
                <w:color w:val="auto"/>
              </w:rPr>
            </w:pPr>
          </w:p>
        </w:tc>
      </w:tr>
      <w:tr>
        <w:trPr>
          <w:trHeight w:val="41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Modification Agreement dated January 31, 2008 between Northern Technologies International Corporation and</w:t>
            </w:r>
          </w:p>
        </w:tc>
        <w:tc>
          <w:tcPr>
            <w:tcW w:w="28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National City Bank</w:t>
            </w:r>
          </w:p>
        </w:tc>
        <w:tc>
          <w:tcPr>
            <w:tcW w:w="280" w:type="dxa"/>
            <w:vAlign w:val="bottom"/>
          </w:tcPr>
          <w:p>
            <w:pPr>
              <w:spacing w:after="0"/>
              <w:rPr>
                <w:sz w:val="20"/>
                <w:szCs w:val="20"/>
                <w:color w:val="auto"/>
              </w:rPr>
            </w:pPr>
          </w:p>
        </w:tc>
      </w:tr>
      <w:tr>
        <w:trPr>
          <w:trHeight w:val="41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24"/>
                <w:szCs w:val="24"/>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Modification Agreement dated April 10, 2008 between Northern Technologies International Corporation and</w:t>
            </w:r>
          </w:p>
        </w:tc>
        <w:tc>
          <w:tcPr>
            <w:tcW w:w="28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National City Bank</w:t>
            </w:r>
          </w:p>
        </w:tc>
        <w:tc>
          <w:tcPr>
            <w:tcW w:w="280" w:type="dxa"/>
            <w:vAlign w:val="bottom"/>
          </w:tcPr>
          <w:p>
            <w:pPr>
              <w:spacing w:after="0"/>
              <w:rPr>
                <w:sz w:val="20"/>
                <w:szCs w:val="20"/>
                <w:color w:val="auto"/>
              </w:rPr>
            </w:pPr>
          </w:p>
        </w:tc>
      </w:tr>
      <w:tr>
        <w:trPr>
          <w:trHeight w:val="43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c>
          <w:tcPr>
            <w:tcW w:w="280" w:type="dxa"/>
            <w:vAlign w:val="bottom"/>
          </w:tcPr>
          <w:p>
            <w:pPr>
              <w:spacing w:after="0"/>
              <w:rPr>
                <w:sz w:val="24"/>
                <w:szCs w:val="24"/>
                <w:color w:val="auto"/>
              </w:rPr>
            </w:pPr>
          </w:p>
        </w:tc>
      </w:tr>
      <w:tr>
        <w:trPr>
          <w:trHeight w:val="431"/>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c>
          <w:tcPr>
            <w:tcW w:w="280" w:type="dxa"/>
            <w:vAlign w:val="bottom"/>
          </w:tcPr>
          <w:p>
            <w:pPr>
              <w:spacing w:after="0"/>
              <w:rPr>
                <w:sz w:val="24"/>
                <w:szCs w:val="24"/>
                <w:color w:val="auto"/>
              </w:rPr>
            </w:pPr>
          </w:p>
        </w:tc>
      </w:tr>
      <w:tr>
        <w:trPr>
          <w:trHeight w:val="41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w:t>
            </w:r>
          </w:p>
        </w:tc>
        <w:tc>
          <w:tcPr>
            <w:tcW w:w="28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Oxley Act of 2002</w:t>
            </w:r>
          </w:p>
        </w:tc>
        <w:tc>
          <w:tcPr>
            <w:tcW w:w="280" w:type="dxa"/>
            <w:vAlign w:val="bottom"/>
          </w:tcPr>
          <w:p>
            <w:pPr>
              <w:spacing w:after="0"/>
              <w:rPr>
                <w:sz w:val="20"/>
                <w:szCs w:val="20"/>
                <w:color w:val="auto"/>
              </w:rPr>
            </w:pPr>
          </w:p>
        </w:tc>
      </w:tr>
      <w:tr>
        <w:trPr>
          <w:trHeight w:val="41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w:t>
            </w:r>
          </w:p>
        </w:tc>
        <w:tc>
          <w:tcPr>
            <w:tcW w:w="28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Oxley Act of 2002</w:t>
            </w:r>
          </w:p>
        </w:tc>
        <w:tc>
          <w:tcPr>
            <w:tcW w:w="280" w:type="dxa"/>
            <w:vAlign w:val="bottom"/>
          </w:tcPr>
          <w:p>
            <w:pPr>
              <w:spacing w:after="0"/>
              <w:rPr>
                <w:sz w:val="20"/>
                <w:szCs w:val="20"/>
                <w:color w:val="auto"/>
              </w:rPr>
            </w:pPr>
          </w:p>
        </w:tc>
      </w:tr>
      <w:tr>
        <w:trPr>
          <w:trHeight w:val="431"/>
        </w:trPr>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4"/>
                <w:szCs w:val="24"/>
                <w:color w:val="auto"/>
              </w:rPr>
            </w:pPr>
          </w:p>
        </w:tc>
      </w:tr>
      <w:tr>
        <w:trPr>
          <w:trHeight w:val="118"/>
        </w:trPr>
        <w:tc>
          <w:tcPr>
            <w:tcW w:w="1280" w:type="dxa"/>
            <w:vAlign w:val="bottom"/>
            <w:tcBorders>
              <w:bottom w:val="single" w:sz="8" w:color="010101"/>
            </w:tcBorders>
          </w:tcPr>
          <w:p>
            <w:pPr>
              <w:spacing w:after="0"/>
              <w:rPr>
                <w:sz w:val="10"/>
                <w:szCs w:val="10"/>
                <w:color w:val="auto"/>
              </w:rPr>
            </w:pPr>
          </w:p>
        </w:tc>
        <w:tc>
          <w:tcPr>
            <w:tcW w:w="240" w:type="dxa"/>
            <w:vAlign w:val="bottom"/>
            <w:tcBorders>
              <w:bottom w:val="single" w:sz="8" w:color="010101"/>
            </w:tcBorders>
          </w:tcPr>
          <w:p>
            <w:pPr>
              <w:spacing w:after="0"/>
              <w:rPr>
                <w:sz w:val="10"/>
                <w:szCs w:val="10"/>
                <w:color w:val="auto"/>
              </w:rPr>
            </w:pPr>
          </w:p>
        </w:tc>
        <w:tc>
          <w:tcPr>
            <w:tcW w:w="966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8" w:lineRule="exact"/>
        <w:rPr>
          <w:sz w:val="20"/>
          <w:szCs w:val="20"/>
          <w:color w:val="auto"/>
        </w:rPr>
      </w:pPr>
    </w:p>
    <w:p>
      <w:pPr>
        <w:ind w:right="840"/>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15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ectPr>
          <w:pgSz w:w="11900" w:h="16838" w:orient="portrait"/>
          <w:cols w:equalWidth="0" w:num="1">
            <w:col w:w="11460"/>
          </w:cols>
          <w:pgMar w:left="240" w:top="336" w:right="199" w:bottom="324"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April 14, 2008</w:t>
            </w:r>
          </w:p>
        </w:tc>
        <w:tc>
          <w:tcPr>
            <w:tcW w:w="80" w:type="dxa"/>
            <w:vAlign w:val="bottom"/>
          </w:tcPr>
          <w:p>
            <w:pPr>
              <w:spacing w:after="0"/>
              <w:rPr>
                <w:sz w:val="18"/>
                <w:szCs w:val="18"/>
                <w:color w:val="auto"/>
              </w:rPr>
            </w:pPr>
          </w:p>
        </w:tc>
        <w:tc>
          <w:tcPr>
            <w:tcW w:w="4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Matthew C. Wolsfeld, CPA</w:t>
            </w:r>
          </w:p>
        </w:tc>
        <w:tc>
          <w:tcPr>
            <w:tcW w:w="1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 and Duly Authorized to Sign on Behalf of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Registrant)</w:t>
            </w: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440" w:type="dxa"/>
            <w:vAlign w:val="bottom"/>
            <w:gridSpan w:val="2"/>
          </w:tcPr>
          <w:p>
            <w:pPr>
              <w:jc w:val="center"/>
              <w:ind w:right="2970"/>
              <w:spacing w:after="0"/>
              <w:rPr>
                <w:sz w:val="20"/>
                <w:szCs w:val="20"/>
                <w:color w:val="auto"/>
              </w:rPr>
            </w:pPr>
            <w:r>
              <w:rPr>
                <w:rFonts w:ascii="Times New Roman" w:cs="Times New Roman" w:eastAsia="Times New Roman" w:hAnsi="Times New Roman"/>
                <w:sz w:val="18"/>
                <w:szCs w:val="18"/>
                <w:color w:val="auto"/>
                <w:w w:val="99"/>
              </w:rPr>
              <w:t>32</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040" w:type="dxa"/>
            <w:vAlign w:val="bottom"/>
            <w:tcBorders>
              <w:bottom w:val="single" w:sz="8" w:color="010101"/>
            </w:tcBorders>
            <w:gridSpan w:val="3"/>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5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30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NORTHERN TECHNOLOGIES INTERNATIONAL CORPORATION</w:t>
            </w: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30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10-QSB</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700" w:type="dxa"/>
            <w:vAlign w:val="bottom"/>
            <w:gridSpan w:val="3"/>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0" w:type="dxa"/>
            <w:vAlign w:val="bottom"/>
          </w:tcPr>
          <w:p>
            <w:pPr>
              <w:spacing w:after="0"/>
              <w:rPr>
                <w:sz w:val="24"/>
                <w:szCs w:val="24"/>
                <w:color w:val="auto"/>
              </w:rPr>
            </w:pPr>
          </w:p>
        </w:tc>
        <w:tc>
          <w:tcPr>
            <w:tcW w:w="4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Method of Filing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3600" w:type="dxa"/>
            <w:vAlign w:val="bottom"/>
          </w:tcPr>
          <w:p>
            <w:pPr>
              <w:spacing w:after="0"/>
              <w:rPr>
                <w:sz w:val="15"/>
                <w:szCs w:val="15"/>
                <w:color w:val="auto"/>
              </w:rPr>
            </w:pPr>
          </w:p>
        </w:tc>
        <w:tc>
          <w:tcPr>
            <w:tcW w:w="4700" w:type="dxa"/>
            <w:vAlign w:val="bottom"/>
            <w:gridSpan w:val="3"/>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0" w:lineRule="exact"/>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6"/>
                <w:szCs w:val="16"/>
                <w:color w:val="auto"/>
              </w:rPr>
            </w:pPr>
          </w:p>
        </w:tc>
        <w:tc>
          <w:tcPr>
            <w:tcW w:w="8040" w:type="dxa"/>
            <w:vAlign w:val="bottom"/>
            <w:tcBorders>
              <w:top w:val="single" w:sz="8" w:color="auto"/>
            </w:tcBorders>
            <w:gridSpan w:val="3"/>
          </w:tcPr>
          <w:p>
            <w:pPr>
              <w:ind w:left="20"/>
              <w:spacing w:after="0" w:line="190" w:lineRule="exact"/>
              <w:rPr>
                <w:sz w:val="20"/>
                <w:szCs w:val="20"/>
                <w:color w:val="auto"/>
              </w:rPr>
            </w:pPr>
            <w:r>
              <w:rPr>
                <w:rFonts w:ascii="Times New Roman" w:cs="Times New Roman" w:eastAsia="Times New Roman" w:hAnsi="Times New Roman"/>
                <w:sz w:val="18"/>
                <w:szCs w:val="18"/>
                <w:color w:val="auto"/>
              </w:rPr>
              <w:t>Promissory Note Modification Agreement dated January 31, 2008 between Northern Technologies</w:t>
            </w:r>
          </w:p>
        </w:tc>
        <w:tc>
          <w:tcPr>
            <w:tcW w:w="260" w:type="dxa"/>
            <w:vAlign w:val="bottom"/>
          </w:tcPr>
          <w:p>
            <w:pPr>
              <w:spacing w:after="0"/>
              <w:rPr>
                <w:sz w:val="16"/>
                <w:szCs w:val="16"/>
                <w:color w:val="auto"/>
              </w:rPr>
            </w:pPr>
          </w:p>
        </w:tc>
        <w:tc>
          <w:tcPr>
            <w:tcW w:w="170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Filed herewith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International Corporation and National City Bank</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24"/>
                <w:szCs w:val="24"/>
                <w:color w:val="auto"/>
              </w:rPr>
            </w:pPr>
          </w:p>
        </w:tc>
        <w:tc>
          <w:tcPr>
            <w:tcW w:w="8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Promissory Note Modification Agreement dated January 31, 2008 between Northern Technologies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International Corporation and National City Bank</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24"/>
                <w:szCs w:val="24"/>
                <w:color w:val="auto"/>
              </w:rPr>
            </w:pPr>
          </w:p>
        </w:tc>
        <w:tc>
          <w:tcPr>
            <w:tcW w:w="8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Promissory Note Modification Agreement dated April 10, 2008 between Northern Technologies International</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Corporation and National City Bank</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24"/>
                <w:szCs w:val="24"/>
                <w:color w:val="auto"/>
              </w:rPr>
            </w:pPr>
          </w:p>
        </w:tc>
        <w:tc>
          <w:tcPr>
            <w:tcW w:w="8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24"/>
                <w:szCs w:val="24"/>
                <w:color w:val="auto"/>
              </w:rPr>
            </w:pPr>
          </w:p>
        </w:tc>
        <w:tc>
          <w:tcPr>
            <w:tcW w:w="8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24"/>
                <w:szCs w:val="24"/>
                <w:color w:val="auto"/>
              </w:rPr>
            </w:pPr>
          </w:p>
        </w:tc>
        <w:tc>
          <w:tcPr>
            <w:tcW w:w="8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Furnished herewith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24"/>
                <w:szCs w:val="24"/>
                <w:color w:val="auto"/>
              </w:rPr>
            </w:pPr>
          </w:p>
        </w:tc>
        <w:tc>
          <w:tcPr>
            <w:tcW w:w="8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Furnished herewith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440" w:type="dxa"/>
            <w:vAlign w:val="bottom"/>
            <w:gridSpan w:val="2"/>
          </w:tcPr>
          <w:p>
            <w:pPr>
              <w:jc w:val="center"/>
              <w:ind w:right="2970"/>
              <w:spacing w:after="0"/>
              <w:rPr>
                <w:sz w:val="20"/>
                <w:szCs w:val="20"/>
                <w:color w:val="auto"/>
              </w:rPr>
            </w:pPr>
            <w:r>
              <w:rPr>
                <w:rFonts w:ascii="Times New Roman" w:cs="Times New Roman" w:eastAsia="Times New Roman" w:hAnsi="Times New Roman"/>
                <w:sz w:val="18"/>
                <w:szCs w:val="18"/>
                <w:color w:val="auto"/>
                <w:w w:val="99"/>
              </w:rPr>
              <w:t>33</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6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3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3395980</wp:posOffset>
            </wp:positionH>
            <wp:positionV relativeFrom="page">
              <wp:posOffset>88900</wp:posOffset>
            </wp:positionV>
            <wp:extent cx="1282065" cy="7010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282065" cy="701040"/>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-3960495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-3960495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23" w:right="19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PROMISSORY NOTE MODIFICATION AGREEMENT</w:t>
      </w:r>
    </w:p>
    <w:p>
      <w:pPr>
        <w:spacing w:after="0" w:line="228" w:lineRule="exact"/>
        <w:rPr>
          <w:sz w:val="20"/>
          <w:szCs w:val="20"/>
          <w:color w:val="auto"/>
        </w:rPr>
      </w:pPr>
    </w:p>
    <w:p>
      <w:pPr>
        <w:ind w:right="420"/>
        <w:spacing w:after="0" w:line="311" w:lineRule="auto"/>
        <w:rPr>
          <w:sz w:val="20"/>
          <w:szCs w:val="20"/>
          <w:color w:val="auto"/>
        </w:rPr>
      </w:pPr>
      <w:r>
        <w:rPr>
          <w:rFonts w:ascii="Times New Roman" w:cs="Times New Roman" w:eastAsia="Times New Roman" w:hAnsi="Times New Roman"/>
          <w:sz w:val="17"/>
          <w:szCs w:val="17"/>
          <w:color w:val="auto"/>
        </w:rPr>
        <w:t>THIS PROMISSORY NOTE MODIFICATION AGREEMENT (“Modification”) is made and entered into on January 31, 2008 by and among Northern Technologies International Corporation (collectively “Borrower”) and NATIONAL CITY BANK, A NATIONAL BANKING ASSOCIATION (“Bank”).</w:t>
      </w:r>
    </w:p>
    <w:p>
      <w:pPr>
        <w:spacing w:after="0" w:line="13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WHEREAS, Bank agreed to lend to Borrower an amount not to exceed the sum of Six Hundred Thousand and 00/100 Dollars ($600,000.00) (“Loan”), which Loan was evidenced by a certain Commercial Note: Demand Line of Credit dated December 14, 2006 in the face amount of Six Hundred Thousand and 00/100 Dollars ($600,000.00) (as extended, amended or otherwise modified to date, the “Note”) (the said Note and any other instrument or document given in connection with or to secure the Loan being collectively referred to as “Loan Documents”).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parties hereto desire to modify the Note as hereinafter provided.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foregoing promises and the covenants contained herein, the parties hereto agree as follows:</w:t>
      </w:r>
    </w:p>
    <w:p>
      <w:pPr>
        <w:spacing w:after="0" w:line="224"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Liability of Borrower. Borrower hereby ratifies and reconfirms Borrower’s obligations and all liability to Bank under the terms and conditions of the Loan Documents and acknowledges that Borrower has no defenses to or rights of set-off against Borrower’s obligations and all liability to Bank thereunder. Borrower further acknowledges that Bank has performed all of Bank’s obligations under the Loan Documents.</w:t>
      </w:r>
    </w:p>
    <w:p>
      <w:pPr>
        <w:spacing w:after="0" w:line="176"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color w:val="auto"/>
        </w:rPr>
        <w:t>Modification. The Note is hereby modified to provide that, effective as of January 31, 2008 the face amount of the Note shall be permanently increased to the sum of Eight Hundred Thousand and 00/100 Dollars ($800,000.00).</w:t>
      </w:r>
    </w:p>
    <w:p>
      <w:pPr>
        <w:spacing w:after="0" w:line="163"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color w:val="auto"/>
        </w:rPr>
        <w:t>The next payment is due February 15, 2008 and monthly thereafter as set forth in the above mentioned note. Payments prior to the first scheduled payment above have been made as evidenced by the books and records of Bank.</w:t>
      </w:r>
    </w:p>
    <w:p>
      <w:pPr>
        <w:spacing w:after="0" w:line="163"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Ratification of Loan Documents. The Loan Documents are in all respects ratified and confirmed by the parties hereto and incorporated by reference herein, and each of the Loan Documents and this Modification shall be read, taken and construed as one and the same instrument. Capitalized terms used herein and not otherwise defined shall have the meanings given to them in the Note. In the event of any conflict between the terms and provisions of this Modification and the terms and provisions of the Note, the terms and provisions of this Modification shall control. NOTWITHSTANDING ANY PROVISION OR INFERENCE TO THE CONTRARY HEREIN, BORROWER ACKNOWLEDGES THAT THE NOTE IS A DEMAND NOTE AND THAT BANK SHALL CONTINUE TO HAVE NO OBLIGATION TO EXTEND ANY CREDIT TO OR FOR THE ACCOUNT OF BORROWER BY REASON OF THE NOTE.</w:t>
      </w:r>
    </w:p>
    <w:p>
      <w:pPr>
        <w:spacing w:after="0" w:line="17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Confession of Judgment. Borrower hereby authorizes any attorney at law to appear in any state or federal court of record in the United States of America after the maturity hereof (whether occurring by lapse of time or acceleration), to waive the issuance and service of process, to admit the maturity of the Note and the amount then appearing due, to confess judgment against Borrower in favor of the holder hereof for the amount then appearing due, together with interest and costs of suit, and thereupon to release all errors and to waive all rights of appeal and stay of execution. No judgment shall bar any subsequent judgment. Should any judgment be vacated for any reason, this warrant of attorney nevertheless may thereafter be used for obtaining additional judgments.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caused this Modification to be executed as of the day and year first above written.</w:t>
      </w:r>
    </w:p>
    <w:p>
      <w:pPr>
        <w:spacing w:after="0" w:line="22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WARNING-BY SIGNING THIS PAPER YOU GIVE UP YOUR RIGHT TO NOTICE AND COURT TRIAL. IF YOU DO NOT PAY ON TIME A COURT JUDGMENT MAY BE TAKEN AGAINST YOU WITHOUT YOUR PRIOR KNOWLEDGE AND THE POWERS OF A COURT CAN BE USED TO COLLECT FROM YOU REGARDLESS OF ANY CLAIMS YOU MAY HAVE AGAINST THE CREDITOR WHETHER FOR RETURNED GOODS, FAULTY GOODS, FAILURE ON HIS PART TO COMPLY WITH THE AGREEMENT, OR ANY OTHER CAUSE.</w:t>
      </w:r>
    </w:p>
    <w:p>
      <w:pPr>
        <w:spacing w:after="0" w:line="18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Matthew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17145</wp:posOffset>
            </wp:positionV>
            <wp:extent cx="45040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04055" cy="8255"/>
                    </a:xfrm>
                    <a:prstGeom prst="rect">
                      <a:avLst/>
                    </a:prstGeom>
                    <a:noFill/>
                  </pic:spPr>
                </pic:pic>
              </a:graphicData>
            </a:graphic>
          </wp:anchor>
        </w:drawing>
      </w:r>
    </w:p>
    <w:p>
      <w:pPr>
        <w:spacing w:after="0" w:line="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Its: CFO</w:t>
      </w:r>
    </w:p>
    <w:p>
      <w:pPr>
        <w:spacing w:after="0" w:line="2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NATIONAL CITY BANK, A NATIONAL BANKING ASSOCIATION</w:t>
      </w:r>
    </w:p>
    <w:p>
      <w:pPr>
        <w:spacing w:after="0" w:line="27" w:lineRule="exact"/>
        <w:rPr>
          <w:sz w:val="20"/>
          <w:szCs w:val="20"/>
          <w:color w:val="auto"/>
        </w:rPr>
      </w:pPr>
    </w:p>
    <w:p>
      <w:pPr>
        <w:ind w:left="396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Joseph McMullen,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5080</wp:posOffset>
            </wp:positionV>
            <wp:extent cx="45040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04055" cy="8255"/>
                    </a:xfrm>
                    <a:prstGeom prst="rect">
                      <a:avLst/>
                    </a:prstGeom>
                    <a:noFill/>
                  </pic:spPr>
                </pic:pic>
              </a:graphicData>
            </a:graphic>
          </wp:anchor>
        </w:drawing>
      </w:r>
    </w:p>
    <w:p>
      <w:pPr>
        <w:ind w:left="3960"/>
        <w:spacing w:after="0"/>
        <w:rPr>
          <w:sz w:val="20"/>
          <w:szCs w:val="20"/>
          <w:color w:val="auto"/>
        </w:rPr>
      </w:pPr>
      <w:r>
        <w:rPr>
          <w:rFonts w:ascii="Times New Roman" w:cs="Times New Roman" w:eastAsia="Times New Roman" w:hAnsi="Times New Roman"/>
          <w:sz w:val="18"/>
          <w:szCs w:val="18"/>
          <w:color w:val="auto"/>
        </w:rPr>
        <w:t>Its: VP</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PROMISSORY NOTE MODIFICATION AGREEMENT</w:t>
      </w:r>
    </w:p>
    <w:p>
      <w:pPr>
        <w:spacing w:after="0" w:line="228"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THIS PROMISSORY NOTE MODIFICATION AGREEMENT (“Modification”) is made and entered into on January 30, 2008 but is effective as of January 31, 2008 by and among Northern Technologies International Corporation (collectively “Borrower”) and NATIONAL CITY BANK, A NATIONAL BANKING ASSOCIATION (“Bank”).</w:t>
      </w:r>
    </w:p>
    <w:p>
      <w:pPr>
        <w:spacing w:after="0" w:line="17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WHEREAS, Bank agreed to lend to Borrower an amount not to exceed the sum of One Million Five Hundred Thousand and 00/100 Dollars ($1,500,000.00) (“Loan”), which Loan was evidenced by a certain Commercial Note: Revolving Credit dated August 6, 2004 in the face amount of Five Hundred Thousand and 00/100 Dollars ($500,000.00) (as extended, amended or otherwise modified to date, the “Note”) (the said Note and any other instrument or document given in connection with or to secure the Loan being collectively referred to as “Loan Documents”).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parties hereto desire to modify the Note as hereinafter provided.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foregoing promises and the covenants contained herein, the parties hereto agree as follows:</w:t>
      </w:r>
    </w:p>
    <w:p>
      <w:pPr>
        <w:spacing w:after="0" w:line="224"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Liability of Borrower. Borrower hereby ratifies and reconfirms Borrower’s obligations and all liability to Bank under the terms and conditions of the Loan Documents and acknowledges that Borrower has no defenses to or rights of set-off against Borrower’s obligations and all liability to Bank thereunder. Borrower further acknowledges that Bank has performed all of Bank’s obligations under the Loan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Modification. The Note is hereby modified to extend the expiration date from January 31, 2008 to January 31, 2009.</w:t>
      </w:r>
    </w:p>
    <w:p>
      <w:pPr>
        <w:spacing w:after="0" w:line="224"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color w:val="auto"/>
        </w:rPr>
        <w:t>The next payment is due February 1, 2008 and monthly thereafter as set forth in the above mentioned note. Payments prior to the first scheduled payment above have been made as evidenced by the books and records of Bank.</w:t>
      </w:r>
    </w:p>
    <w:p>
      <w:pPr>
        <w:spacing w:after="0" w:line="16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Ratification of Loan Documents. The Loan Documents are in all respects ratified and confirmed by the parties hereto and incorporated by reference herein, and each of the Loan Documents and this Modification shall be read, taken and construed as one and the same instrument. Capitalized terms used herein and not otherwise defined shall have the meanings given to them in the Note. In the event of any conflict between the terms and provisions of this Modification and the terms and provisions of the Note, the terms and provisions of this Modification shall control.</w:t>
      </w:r>
    </w:p>
    <w:p>
      <w:pPr>
        <w:spacing w:after="0" w:line="18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Confession of Judgment. Borrower hereby authorizes any attorney at law to appear in any state or federal court of record in the United States of America after the maturity hereof (whether occurring by lapse of time or acceleration), to waive the issuance and service of process, to admit the maturity of the Note and the amount then appearing due, to confess judgment against Borrower in favor of the holder hereof for the amount then appearing due, together with interest and costs of suit, and thereupon to release all errors and to waive all rights of appeal and stay of execution. No judgment shall bar any subsequent judgment. Should any judgment be vacated for any reason, this warrant of attorney nevertheless may thereafter be used for obtaining additional judgments.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caused this Modification to be executed as of the day and year first above written.</w:t>
      </w:r>
    </w:p>
    <w:p>
      <w:pPr>
        <w:spacing w:after="0" w:line="22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WARNING-BY SIGNING THIS PAPER YOU GIVE UP YOUR RIGHT TO NOTICE AND COURT TRIAL. IF YOU DO NOT PAY ON TIME A COURT JUDGMENT MAY BE TAKEN AGAINST YOU WITHOUT YOUR PRIOR KNOWLEDGE AND THE POWERS OF A COURT CAN BE USED TO COLLECT FROM YOU REGARDLESS OF ANY CLAIMS YOU MAY HAVE AGAINST THE CREDITOR WHETHER FOR RETURNED GOODS, FAULTY GOODS, FAILURE ON HIS PART TO COMPLY WITH THE AGREEMENT, OR ANY OTHER CAUSE. NTIC</w:t>
      </w:r>
    </w:p>
    <w:p>
      <w:pPr>
        <w:spacing w:after="0" w:line="18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Matthew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17145</wp:posOffset>
            </wp:positionV>
            <wp:extent cx="45040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04055" cy="8255"/>
                    </a:xfrm>
                    <a:prstGeom prst="rect">
                      <a:avLst/>
                    </a:prstGeom>
                    <a:noFill/>
                  </pic:spPr>
                </pic:pic>
              </a:graphicData>
            </a:graphic>
          </wp:anchor>
        </w:drawing>
      </w:r>
    </w:p>
    <w:p>
      <w:pPr>
        <w:spacing w:after="0" w:line="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Its: CFO</w:t>
      </w:r>
    </w:p>
    <w:p>
      <w:pPr>
        <w:spacing w:after="0" w:line="2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NATIONAL CITY BANK, A NATIONAL BANKING ASSOCIATION</w:t>
      </w:r>
    </w:p>
    <w:p>
      <w:pPr>
        <w:spacing w:after="0" w:line="27" w:lineRule="exact"/>
        <w:rPr>
          <w:sz w:val="20"/>
          <w:szCs w:val="20"/>
          <w:color w:val="auto"/>
        </w:rPr>
      </w:pPr>
    </w:p>
    <w:p>
      <w:pPr>
        <w:ind w:left="396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Joseph McMullen,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5080</wp:posOffset>
            </wp:positionV>
            <wp:extent cx="45040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04055" cy="8255"/>
                    </a:xfrm>
                    <a:prstGeom prst="rect">
                      <a:avLst/>
                    </a:prstGeom>
                    <a:noFill/>
                  </pic:spPr>
                </pic:pic>
              </a:graphicData>
            </a:graphic>
          </wp:anchor>
        </w:drawing>
      </w:r>
    </w:p>
    <w:p>
      <w:pPr>
        <w:ind w:left="3960"/>
        <w:spacing w:after="0"/>
        <w:rPr>
          <w:sz w:val="20"/>
          <w:szCs w:val="20"/>
          <w:color w:val="auto"/>
        </w:rPr>
      </w:pPr>
      <w:r>
        <w:rPr>
          <w:rFonts w:ascii="Times New Roman" w:cs="Times New Roman" w:eastAsia="Times New Roman" w:hAnsi="Times New Roman"/>
          <w:sz w:val="18"/>
          <w:szCs w:val="18"/>
          <w:color w:val="auto"/>
        </w:rPr>
        <w:t>Its: VP</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PROMISSORY NOTE MODIFICATION AGREEMENT</w:t>
      </w:r>
    </w:p>
    <w:p>
      <w:pPr>
        <w:spacing w:after="0" w:line="228" w:lineRule="exact"/>
        <w:rPr>
          <w:sz w:val="20"/>
          <w:szCs w:val="20"/>
          <w:color w:val="auto"/>
        </w:rPr>
      </w:pPr>
    </w:p>
    <w:p>
      <w:pPr>
        <w:ind w:right="420"/>
        <w:spacing w:after="0" w:line="311" w:lineRule="auto"/>
        <w:rPr>
          <w:sz w:val="20"/>
          <w:szCs w:val="20"/>
          <w:color w:val="auto"/>
        </w:rPr>
      </w:pPr>
      <w:r>
        <w:rPr>
          <w:rFonts w:ascii="Times New Roman" w:cs="Times New Roman" w:eastAsia="Times New Roman" w:hAnsi="Times New Roman"/>
          <w:sz w:val="17"/>
          <w:szCs w:val="17"/>
          <w:color w:val="auto"/>
        </w:rPr>
        <w:t>THIS PROMISSORY NOTE MODIFICATION AGREEMENT (“Modification”) is made and entered into on April 10, 2008 by and among Northern Technologies International Corporation (collectively “Borrower”) and NATIONAL CITY BANK, A NATIONAL BANKING ASSOCIATION (“Bank”).</w:t>
      </w:r>
    </w:p>
    <w:p>
      <w:pPr>
        <w:spacing w:after="0" w:line="13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WHEREAS, Bank agreed to lend to Borrower an amount not to exceed the sum of Eight Hundred Thousand and 00/100 Dollars ($800,000.00) (“Loan”), which Loan was evidenced by a certain Commercial Note: Demand Line of Credit dated December 14, 2006 in the face amount of Six Hundred Thousand and 00/100 Dollars ($600,000.00) (as extended, amended or otherwise modified to date, the “Note”) (the said Note and any other instrument or document given in connection with or to secure the Loan being collectively referred to as “Loan Documents”) .</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parties hereto desire to modify the Note as hereinafter provided.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foregoing promises and the covenants contained herein, the parties hereto agree as follows:</w:t>
      </w:r>
    </w:p>
    <w:p>
      <w:pPr>
        <w:spacing w:after="0" w:line="224"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Liability of Borrower. Borrower hereby ratifies and reconfirms Borrower’s obligations and all liability to Bank under the terms and conditions of the Loan Documents and acknowledges that Borrower has no defenses to or rights of set-off against Borrower’s obligations and all liability to Bank thereunder. Borrower further acknowledges that Bank has performed all of Bank’s obligations under the Loan Documents.</w:t>
      </w:r>
    </w:p>
    <w:p>
      <w:pPr>
        <w:spacing w:after="0" w:line="176"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color w:val="auto"/>
        </w:rPr>
        <w:t>Modification. The Note is hereby modified to provide that, effective as of April 10, 2008 the face amount of the Note shall be permanently increased to the sum of Two Million Three Hundred Thousand and 00/100 Dollars ($2,300,000.00).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payments have been made as evidenced by the books and records of Bank.</w:t>
      </w:r>
    </w:p>
    <w:p>
      <w:pPr>
        <w:spacing w:after="0" w:line="224"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Ratification of Loan Documents. The Loan Documents are in all respects ratified and confirmed by the parties hereto and incorporated by reference herein, and each of the Loan Documents and this Modification shall be read, taken and construed as one and the same instrument. Capitalized terms used herein and not otherwise defined shall have the meanings given to them in the Note. In the event of any conflict between the terms and provisions of this Modification and the terms and provisions of the Note, the terms and provisions of this Modification shall control. NOTWITHSTANDING ANY PROVISION OR INFERENCE TO THE CONTRARY HEREIN, BORROWER ACKNOWLEDGES THAT THE NOTE IS A DEMAND NOTE AND THAT BANK SHALL CONTINUE TO HAVE NO OBLIGATION TO EXTEND ANY CREDIT TO OR FOR THE ACCOUNT OF BORROWER BY REASON OF THE NOTE.</w:t>
      </w:r>
    </w:p>
    <w:p>
      <w:pPr>
        <w:spacing w:after="0" w:line="17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Confession of Judgment. Borrower hereby authorizes any attorney at law to appear in any state or federal court of record in the United States of America after the maturity hereof (whether occurring by lapse of time or acceleration), to waive the issuance and service of process, to admit the maturity of the Note and the amount then appearing due, to confess judgment against Borrower in favor of the holder hereof for the amount then appearing due, together with interest and costs of suit, and thereupon to release all errors and to waive all rights of appeal and stay of execution. No judgment shall bar any subsequent judgment. Should any judgment be vacated for any reason, this warrant of attorney nevertheless may thereafter be used for obtaining additional judgments.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caused this Modification to be executed as of the day and year first above written.</w:t>
      </w:r>
    </w:p>
    <w:p>
      <w:pPr>
        <w:spacing w:after="0" w:line="22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WARNING-BY SIGNING THIS PAPER YOU GIVE UP YOUR RIGHT TO NOTICE AND COURT TRIAL. IF YOU DO NOT PAY ON TIME A COURT JUDGMENT MAY BE TAKEN AGAINST YOU WITHOUT YOUR PRIOR KNOWLEDGE AND THE POWERS OF A COURT CAN BE USED TO COLLECT FROM YOU REGARDLESS OF ANY CLAIMS YOU MAY HAVE AGAINST THE CREDITOR WHETHER FOR RETURNED GOODS, FAULTY GOODS, FAILURE ON HIS PART TO COMPLY WITH THE AGREEMENT, OR ANY OTHER CAUSE.</w:t>
      </w:r>
    </w:p>
    <w:p>
      <w:pPr>
        <w:spacing w:after="0" w:line="18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NTIC</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Matthew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5080</wp:posOffset>
            </wp:positionV>
            <wp:extent cx="45040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04055" cy="8255"/>
                    </a:xfrm>
                    <a:prstGeom prst="rect">
                      <a:avLst/>
                    </a:prstGeom>
                    <a:noFill/>
                  </pic:spPr>
                </pic:pic>
              </a:graphicData>
            </a:graphic>
          </wp:anchor>
        </w:drawing>
      </w:r>
    </w:p>
    <w:p>
      <w:pPr>
        <w:ind w:left="3960"/>
        <w:spacing w:after="0"/>
        <w:rPr>
          <w:sz w:val="20"/>
          <w:szCs w:val="20"/>
          <w:color w:val="auto"/>
        </w:rPr>
      </w:pPr>
      <w:r>
        <w:rPr>
          <w:rFonts w:ascii="Times New Roman" w:cs="Times New Roman" w:eastAsia="Times New Roman" w:hAnsi="Times New Roman"/>
          <w:sz w:val="18"/>
          <w:szCs w:val="18"/>
          <w:color w:val="auto"/>
        </w:rPr>
        <w:t>Its: CFO</w:t>
      </w:r>
    </w:p>
    <w:p>
      <w:pPr>
        <w:spacing w:after="0" w:line="2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NATIONAL CITY BANK, A NATIONAL BANKING ASSOCIATION</w:t>
      </w:r>
    </w:p>
    <w:p>
      <w:pPr>
        <w:spacing w:after="0" w:line="27" w:lineRule="exact"/>
        <w:rPr>
          <w:sz w:val="20"/>
          <w:szCs w:val="20"/>
          <w:color w:val="auto"/>
        </w:rPr>
      </w:pPr>
    </w:p>
    <w:p>
      <w:pPr>
        <w:ind w:left="396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Joseph McMullen,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5080</wp:posOffset>
            </wp:positionV>
            <wp:extent cx="45040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04055" cy="8255"/>
                    </a:xfrm>
                    <a:prstGeom prst="rect">
                      <a:avLst/>
                    </a:prstGeom>
                    <a:noFill/>
                  </pic:spPr>
                </pic:pic>
              </a:graphicData>
            </a:graphic>
          </wp:anchor>
        </w:drawing>
      </w:r>
    </w:p>
    <w:p>
      <w:pPr>
        <w:ind w:left="3960"/>
        <w:spacing w:after="0"/>
        <w:rPr>
          <w:sz w:val="20"/>
          <w:szCs w:val="20"/>
          <w:color w:val="auto"/>
        </w:rPr>
      </w:pPr>
      <w:r>
        <w:rPr>
          <w:rFonts w:ascii="Times New Roman" w:cs="Times New Roman" w:eastAsia="Times New Roman" w:hAnsi="Times New Roman"/>
          <w:sz w:val="18"/>
          <w:szCs w:val="18"/>
          <w:color w:val="auto"/>
        </w:rPr>
        <w:t>Its: VP</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Patrick Lynch, certify that:</w:t>
      </w:r>
    </w:p>
    <w:p>
      <w:pPr>
        <w:spacing w:after="0" w:line="224" w:lineRule="exact"/>
        <w:rPr>
          <w:sz w:val="20"/>
          <w:szCs w:val="20"/>
          <w:color w:val="auto"/>
        </w:rPr>
      </w:pPr>
    </w:p>
    <w:p>
      <w:pPr>
        <w:ind w:left="540" w:hanging="532"/>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10-QSB of Northern Technologies International Corporation;</w:t>
      </w:r>
    </w:p>
    <w:p>
      <w:pPr>
        <w:spacing w:after="0" w:line="223" w:lineRule="exact"/>
        <w:rPr>
          <w:rFonts w:ascii="Times New Roman" w:cs="Times New Roman" w:eastAsia="Times New Roman" w:hAnsi="Times New Roman"/>
          <w:sz w:val="18"/>
          <w:szCs w:val="18"/>
          <w:color w:val="auto"/>
        </w:rPr>
      </w:pPr>
    </w:p>
    <w:p>
      <w:pPr>
        <w:jc w:val="both"/>
        <w:ind w:left="520" w:right="460" w:hanging="512"/>
        <w:spacing w:after="0" w:line="265" w:lineRule="auto"/>
        <w:tabs>
          <w:tab w:leader="none" w:pos="5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420" w:hanging="512"/>
        <w:spacing w:after="0" w:line="280" w:lineRule="auto"/>
        <w:tabs>
          <w:tab w:leader="none" w:pos="5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63" w:lineRule="exact"/>
        <w:rPr>
          <w:rFonts w:ascii="Times New Roman" w:cs="Times New Roman" w:eastAsia="Times New Roman" w:hAnsi="Times New Roman"/>
          <w:sz w:val="18"/>
          <w:szCs w:val="18"/>
          <w:color w:val="auto"/>
        </w:rPr>
      </w:pPr>
    </w:p>
    <w:p>
      <w:pPr>
        <w:ind w:left="520" w:right="500" w:hanging="512"/>
        <w:spacing w:after="0" w:line="280" w:lineRule="auto"/>
        <w:tabs>
          <w:tab w:leader="none" w:pos="5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63" w:lineRule="exact"/>
        <w:rPr>
          <w:rFonts w:ascii="Times New Roman" w:cs="Times New Roman" w:eastAsia="Times New Roman" w:hAnsi="Times New Roman"/>
          <w:sz w:val="18"/>
          <w:szCs w:val="18"/>
          <w:color w:val="auto"/>
        </w:rPr>
      </w:pPr>
    </w:p>
    <w:p>
      <w:pPr>
        <w:ind w:left="1600" w:hanging="559"/>
        <w:spacing w:after="0"/>
        <w:tabs>
          <w:tab w:leader="none" w:pos="16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26" w:lineRule="exact"/>
        <w:rPr>
          <w:rFonts w:ascii="Times New Roman" w:cs="Times New Roman" w:eastAsia="Times New Roman" w:hAnsi="Times New Roman"/>
          <w:sz w:val="18"/>
          <w:szCs w:val="18"/>
          <w:color w:val="auto"/>
        </w:rPr>
      </w:pPr>
    </w:p>
    <w:p>
      <w:pPr>
        <w:ind w:left="1040" w:right="20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8"/>
          <w:szCs w:val="18"/>
          <w:color w:val="auto"/>
        </w:rPr>
      </w:pPr>
    </w:p>
    <w:p>
      <w:pPr>
        <w:ind w:left="1040" w:right="60" w:firstLine="1"/>
        <w:spacing w:after="0" w:line="265" w:lineRule="auto"/>
        <w:tabs>
          <w:tab w:leader="none" w:pos="156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40" w:right="100" w:firstLine="1"/>
        <w:spacing w:after="0" w:line="265" w:lineRule="auto"/>
        <w:tabs>
          <w:tab w:leader="none" w:pos="159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small business issuer’s internal control over financial reporting that occurred during the small business issuer’s fourth quarter that has materially affected, or is reasonably likely to materially affect, the small business issuer’s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small business issuer’s other certifying officers and I have disclosed, based on our most recent evaluation of internal controls over financial reporting, to the small business issuer’s auditors and the audit committee of the small business issuer’s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ind w:left="1040" w:right="300" w:hanging="4"/>
        <w:spacing w:after="0" w:line="311" w:lineRule="auto"/>
        <w:tabs>
          <w:tab w:leader="none" w:pos="1598"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controls over financial reporting which are reasonably likely to adversely affect the small business issuer’s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040" w:right="440" w:firstLine="1"/>
        <w:spacing w:after="0" w:line="280" w:lineRule="auto"/>
        <w:tabs>
          <w:tab w:leader="none" w:pos="15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small business issuer’s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3653790</wp:posOffset>
            </wp:positionH>
            <wp:positionV relativeFrom="paragraph">
              <wp:posOffset>252095</wp:posOffset>
            </wp:positionV>
            <wp:extent cx="1726565" cy="418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26565" cy="41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14,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17145</wp:posOffset>
            </wp:positionV>
            <wp:extent cx="36061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06165" cy="8255"/>
                    </a:xfrm>
                    <a:prstGeom prst="rect">
                      <a:avLst/>
                    </a:prstGeom>
                    <a:noFill/>
                  </pic:spPr>
                </pic:pic>
              </a:graphicData>
            </a:graphic>
          </wp:anchor>
        </w:drawing>
      </w:r>
    </w:p>
    <w:p>
      <w:pPr>
        <w:spacing w:after="0" w:line="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G. Patrick Lynch</w:t>
      </w:r>
    </w:p>
    <w:p>
      <w:pPr>
        <w:spacing w:after="0" w:line="2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5" w:name="page26"/>
    <w:bookmarkEnd w:id="25"/>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C. Wolsfeld, certify that:</w:t>
      </w:r>
    </w:p>
    <w:p>
      <w:pPr>
        <w:spacing w:after="0" w:line="224" w:lineRule="exact"/>
        <w:rPr>
          <w:sz w:val="20"/>
          <w:szCs w:val="20"/>
          <w:color w:val="auto"/>
        </w:rPr>
      </w:pPr>
    </w:p>
    <w:p>
      <w:pPr>
        <w:ind w:left="580" w:hanging="572"/>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10-QSB of Northern Technologies International Corporation;</w:t>
      </w:r>
    </w:p>
    <w:p>
      <w:pPr>
        <w:spacing w:after="0" w:line="223" w:lineRule="exact"/>
        <w:rPr>
          <w:rFonts w:ascii="Times New Roman" w:cs="Times New Roman" w:eastAsia="Times New Roman" w:hAnsi="Times New Roman"/>
          <w:sz w:val="18"/>
          <w:szCs w:val="18"/>
          <w:color w:val="auto"/>
        </w:rPr>
      </w:pPr>
    </w:p>
    <w:p>
      <w:pPr>
        <w:jc w:val="both"/>
        <w:ind w:left="520" w:right="500" w:hanging="512"/>
        <w:spacing w:after="0" w:line="265" w:lineRule="auto"/>
        <w:tabs>
          <w:tab w:leader="none" w:pos="5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460" w:hanging="512"/>
        <w:spacing w:after="0" w:line="280" w:lineRule="auto"/>
        <w:tabs>
          <w:tab w:leader="none" w:pos="5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63" w:lineRule="exact"/>
        <w:rPr>
          <w:rFonts w:ascii="Times New Roman" w:cs="Times New Roman" w:eastAsia="Times New Roman" w:hAnsi="Times New Roman"/>
          <w:sz w:val="18"/>
          <w:szCs w:val="18"/>
          <w:color w:val="auto"/>
        </w:rPr>
      </w:pPr>
    </w:p>
    <w:p>
      <w:pPr>
        <w:ind w:left="520" w:right="540" w:hanging="512"/>
        <w:spacing w:after="0" w:line="280" w:lineRule="auto"/>
        <w:tabs>
          <w:tab w:leader="none" w:pos="5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63" w:lineRule="exact"/>
        <w:rPr>
          <w:rFonts w:ascii="Times New Roman" w:cs="Times New Roman" w:eastAsia="Times New Roman" w:hAnsi="Times New Roman"/>
          <w:sz w:val="18"/>
          <w:szCs w:val="18"/>
          <w:color w:val="auto"/>
        </w:rPr>
      </w:pPr>
    </w:p>
    <w:p>
      <w:pPr>
        <w:ind w:left="1600" w:hanging="559"/>
        <w:spacing w:after="0"/>
        <w:tabs>
          <w:tab w:leader="none" w:pos="16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26" w:lineRule="exact"/>
        <w:rPr>
          <w:rFonts w:ascii="Times New Roman" w:cs="Times New Roman" w:eastAsia="Times New Roman" w:hAnsi="Times New Roman"/>
          <w:sz w:val="18"/>
          <w:szCs w:val="18"/>
          <w:color w:val="auto"/>
        </w:rPr>
      </w:pPr>
    </w:p>
    <w:p>
      <w:pPr>
        <w:ind w:left="1040" w:right="24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8"/>
          <w:szCs w:val="18"/>
          <w:color w:val="auto"/>
        </w:rPr>
      </w:pPr>
    </w:p>
    <w:p>
      <w:pPr>
        <w:ind w:left="1040" w:right="100" w:firstLine="1"/>
        <w:spacing w:after="0" w:line="265" w:lineRule="auto"/>
        <w:tabs>
          <w:tab w:leader="none" w:pos="156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40" w:right="140" w:firstLine="1"/>
        <w:spacing w:after="0" w:line="265" w:lineRule="auto"/>
        <w:tabs>
          <w:tab w:leader="none" w:pos="159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small business issuer’s internal control over financial reporting that occurred during the small business issuer’s fourth quarter that has materially affected, or is reasonably likely to materially affect, the small business issuer’s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300" w:hanging="512"/>
        <w:spacing w:after="0" w:line="265" w:lineRule="auto"/>
        <w:tabs>
          <w:tab w:leader="none" w:pos="5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small business issuer’s other certifying officers and I have disclosed, based on our most recent evaluation of internal controls over financial reporting, to the small business issuer’s auditors and the audit committee of the small business issuer’s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ind w:left="1040" w:right="340" w:hanging="4"/>
        <w:spacing w:after="0" w:line="311" w:lineRule="auto"/>
        <w:tabs>
          <w:tab w:leader="none" w:pos="159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controls over financial reporting which are reasonably likely to adversely affect the small business issuer’s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040" w:right="480" w:firstLine="1"/>
        <w:spacing w:after="0" w:line="280" w:lineRule="auto"/>
        <w:tabs>
          <w:tab w:leader="none" w:pos="15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small business issuer’s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114935</wp:posOffset>
            </wp:positionV>
            <wp:extent cx="1452880" cy="435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52880" cy="43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14, 2008</w:t>
            </w:r>
          </w:p>
        </w:tc>
        <w:tc>
          <w:tcPr>
            <w:tcW w:w="6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Matthew C. Wolsfeld, CPA</w:t>
            </w:r>
          </w:p>
        </w:tc>
        <w:tc>
          <w:tcPr>
            <w:tcW w:w="40" w:type="dxa"/>
            <w:vAlign w:val="bottom"/>
          </w:tcPr>
          <w:p>
            <w:pPr>
              <w:spacing w:after="0"/>
              <w:rPr>
                <w:sz w:val="18"/>
                <w:szCs w:val="18"/>
                <w:color w:val="auto"/>
              </w:rPr>
            </w:pPr>
          </w:p>
        </w:tc>
      </w:tr>
      <w:tr>
        <w:trPr>
          <w:trHeight w:val="234"/>
        </w:trPr>
        <w:tc>
          <w:tcPr>
            <w:tcW w:w="512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c>
          <w:tcPr>
            <w:tcW w:w="40" w:type="dxa"/>
            <w:vAlign w:val="bottom"/>
          </w:tcPr>
          <w:p>
            <w:pPr>
              <w:spacing w:after="0"/>
              <w:rPr>
                <w:sz w:val="20"/>
                <w:szCs w:val="20"/>
                <w:color w:val="auto"/>
              </w:rPr>
            </w:pPr>
          </w:p>
        </w:tc>
      </w:tr>
      <w:tr>
        <w:trPr>
          <w:trHeight w:val="646"/>
        </w:trPr>
        <w:tc>
          <w:tcPr>
            <w:tcW w:w="5120" w:type="dxa"/>
            <w:vAlign w:val="bottom"/>
          </w:tcPr>
          <w:p>
            <w:pPr>
              <w:spacing w:after="0"/>
              <w:rPr>
                <w:sz w:val="24"/>
                <w:szCs w:val="24"/>
                <w:color w:val="auto"/>
              </w:rPr>
            </w:pPr>
          </w:p>
        </w:tc>
        <w:tc>
          <w:tcPr>
            <w:tcW w:w="6300" w:type="dxa"/>
            <w:vAlign w:val="bottom"/>
          </w:tcPr>
          <w:p>
            <w:pPr>
              <w:jc w:val="right"/>
              <w:ind w:right="557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r>
      <w:tr>
        <w:trPr>
          <w:trHeight w:val="131"/>
        </w:trPr>
        <w:tc>
          <w:tcPr>
            <w:tcW w:w="5120" w:type="dxa"/>
            <w:vAlign w:val="bottom"/>
            <w:tcBorders>
              <w:bottom w:val="single" w:sz="8" w:color="010101"/>
            </w:tcBorders>
          </w:tcPr>
          <w:p>
            <w:pPr>
              <w:spacing w:after="0"/>
              <w:rPr>
                <w:sz w:val="11"/>
                <w:szCs w:val="11"/>
                <w:color w:val="auto"/>
              </w:rPr>
            </w:pPr>
          </w:p>
        </w:tc>
        <w:tc>
          <w:tcPr>
            <w:tcW w:w="63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440" w:gutter="0" w:footer="0" w:header="0"/>
        </w:sectPr>
      </w:pPr>
    </w:p>
    <w:bookmarkStart w:id="26" w:name="page27"/>
    <w:bookmarkEnd w:id="26"/>
    <w:p>
      <w:pPr>
        <w:ind w:left="1050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5" w:lineRule="exact"/>
        <w:rPr>
          <w:sz w:val="20"/>
          <w:szCs w:val="20"/>
          <w:color w:val="auto"/>
        </w:rPr>
      </w:pPr>
    </w:p>
    <w:p>
      <w:pPr>
        <w:jc w:val="center"/>
        <w:spacing w:after="0" w:line="285"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Northern Technologies International Corporation (the “Company”) on Form 10-QSB for the period ending February 29, 2008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7255" cy="427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7255" cy="42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 Patrick. Lynch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24"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Date : April 14, 2008</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7" w:name="page28"/>
    <w:bookmarkEnd w:id="27"/>
    <w:p>
      <w:pPr>
        <w:ind w:left="1050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5" w:lineRule="exact"/>
        <w:rPr>
          <w:sz w:val="20"/>
          <w:szCs w:val="20"/>
          <w:color w:val="auto"/>
        </w:rPr>
      </w:pPr>
    </w:p>
    <w:p>
      <w:pPr>
        <w:jc w:val="center"/>
        <w:spacing w:after="0" w:line="285"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of Northern Technologies International Corporation (the “Company”) on Form 10-QSB for the period ending February 29, 2008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7255" cy="7092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7255" cy="70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officer)</w:t>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 April 14, 2008</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6821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4"/>
    </w:lvl>
  </w:abstractNum>
  <w:abstractNum w:abstractNumId="5">
    <w:nsid w:val="66EF438D"/>
    <w:multiLevelType w:val="hybridMultilevel"/>
    <w:lvl w:ilvl="0">
      <w:lvlJc w:val="left"/>
      <w:lvlText w:val="%1."/>
      <w:numFmt w:val="decimal"/>
      <w:start w:val="5"/>
    </w:lvl>
  </w:abstractNum>
  <w:abstractNum w:abstractNumId="6">
    <w:nsid w:val="140E0F76"/>
    <w:multiLevelType w:val="hybridMultilevel"/>
    <w:lvl w:ilvl="0">
      <w:lvlJc w:val="left"/>
      <w:lvlText w:val="%1."/>
      <w:numFmt w:val="decimal"/>
      <w:start w:val="6"/>
    </w:lvl>
  </w:abstractNum>
  <w:abstractNum w:abstractNumId="7">
    <w:nsid w:val="3352255A"/>
    <w:multiLevelType w:val="hybridMultilevel"/>
    <w:lvl w:ilvl="0">
      <w:lvlJc w:val="left"/>
      <w:lvlText w:val="%1."/>
      <w:numFmt w:val="decimal"/>
      <w:start w:val="7"/>
    </w:lvl>
  </w:abstractNum>
  <w:abstractNum w:abstractNumId="8">
    <w:nsid w:val="109CF92E"/>
    <w:multiLevelType w:val="hybridMultilevel"/>
    <w:lvl w:ilvl="0">
      <w:lvlJc w:val="left"/>
      <w:lvlText w:val="%1."/>
      <w:numFmt w:val="decimal"/>
      <w:start w:val="8"/>
    </w:lvl>
  </w:abstractNum>
  <w:abstractNum w:abstractNumId="9">
    <w:nsid w:val="DED7263"/>
    <w:multiLevelType w:val="hybridMultilevel"/>
    <w:lvl w:ilvl="0">
      <w:lvlJc w:val="left"/>
      <w:lvlText w:val="%1."/>
      <w:numFmt w:val="decimal"/>
      <w:start w:val="9"/>
    </w:lvl>
  </w:abstractNum>
  <w:abstractNum w:abstractNumId="10">
    <w:nsid w:val="7FDCC233"/>
    <w:multiLevelType w:val="hybridMultilevel"/>
    <w:lvl w:ilvl="0">
      <w:lvlJc w:val="left"/>
      <w:lvlText w:val="%1."/>
      <w:numFmt w:val="decimal"/>
      <w:start w:val="9"/>
    </w:lvl>
    <w:lvl w:ilvl="1">
      <w:lvlJc w:val="left"/>
      <w:lvlText w:val="·"/>
      <w:numFmt w:val="bullet"/>
      <w:start w:val="1"/>
    </w:lvl>
  </w:abstractNum>
  <w:abstractNum w:abstractNumId="11">
    <w:nsid w:val="1BEFD79F"/>
    <w:multiLevelType w:val="hybridMultilevel"/>
    <w:lvl w:ilvl="0">
      <w:lvlJc w:val="left"/>
      <w:lvlText w:val="%1."/>
      <w:numFmt w:val="decimal"/>
      <w:start w:val="1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2019-12-13T19:50:59Z</dcterms:created>
  <dcterms:modified xsi:type="dcterms:W3CDTF">2019-12-13T19:50:59Z</dcterms:modified>
</cp:coreProperties>
</file>