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February 29,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2880" w:right="1860" w:hanging="2872"/>
        <w:spacing w:after="0" w:line="500" w:lineRule="auto"/>
        <w:tabs>
          <w:tab w:leader="none" w:pos="20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67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53"/>
        </w:trPr>
        <w:tc>
          <w:tcPr>
            <w:tcW w:w="37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189"/>
        </w:trPr>
        <w:tc>
          <w:tcPr>
            <w:tcW w:w="374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82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jc w:val="center"/>
              <w:ind w:right="750"/>
              <w:spacing w:after="0" w:line="170" w:lineRule="exact"/>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82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jc w:val="center"/>
              <w:ind w:right="750"/>
              <w:spacing w:after="0" w:line="193" w:lineRule="exact"/>
              <w:rPr>
                <w:sz w:val="20"/>
                <w:szCs w:val="20"/>
                <w:color w:val="auto"/>
              </w:rPr>
            </w:pPr>
            <w:r>
              <w:rPr>
                <w:rFonts w:ascii="Times New Roman" w:cs="Times New Roman" w:eastAsia="Times New Roman" w:hAnsi="Times New Roman"/>
                <w:sz w:val="18"/>
                <w:szCs w:val="18"/>
                <w:color w:val="auto"/>
                <w:w w:val="99"/>
              </w:rPr>
              <w:t>NTIC</w:t>
            </w:r>
          </w:p>
        </w:tc>
        <w:tc>
          <w:tcPr>
            <w:tcW w:w="3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75"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780" w:space="720"/>
            <w:col w:w="6740"/>
          </w:cols>
          <w:pgMar w:left="320" w:top="675" w:right="339" w:bottom="1440" w:gutter="0" w:footer="0" w:header="0"/>
          <w:type w:val="continuous"/>
        </w:sectPr>
      </w:pPr>
    </w:p>
    <w:p>
      <w:pPr>
        <w:spacing w:after="0" w:line="17"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9, 2024, there were 9,427,598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29,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7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PART 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FINANCIAL INFORMATION</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380" w:type="dxa"/>
            <w:vAlign w:val="bottom"/>
            <w:tcBorders>
              <w:top w:val="single" w:sz="8" w:color="0000EE"/>
            </w:tcBorders>
            <w:gridSpan w:val="2"/>
          </w:tcPr>
          <w:p>
            <w:pPr>
              <w:spacing w:after="0"/>
              <w:rPr>
                <w:sz w:val="24"/>
                <w:szCs w:val="24"/>
                <w:color w:val="auto"/>
              </w:rPr>
            </w:pPr>
          </w:p>
        </w:tc>
        <w:tc>
          <w:tcPr>
            <w:tcW w:w="22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756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Consolidated Balance Sheets as of February 29, 2024 (unaudited) and August 31, 2023 (audited)</w:t>
            </w:r>
          </w:p>
        </w:tc>
        <w:tc>
          <w:tcPr>
            <w:tcW w:w="2820" w:type="dxa"/>
            <w:vAlign w:val="bottom"/>
            <w:gridSpan w:val="5"/>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Consolidated Statements of Operations (unaudited) for the Three and Six Months Ended February 29, 2024 and February 28, 2023</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(unaudited) for the Three and Six Months Ended February 29, 2024 and February</w:t>
            </w:r>
          </w:p>
        </w:tc>
        <w:tc>
          <w:tcPr>
            <w:tcW w:w="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Borders>
              <w:top w:val="single" w:sz="8" w:color="0000EE"/>
            </w:tcBorders>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5"/>
              </w:rPr>
              <w:t>28, 2023</w:t>
            </w:r>
          </w:p>
        </w:tc>
        <w:tc>
          <w:tcPr>
            <w:tcW w:w="280" w:type="dxa"/>
            <w:vAlign w:val="bottom"/>
            <w:tcBorders>
              <w:top w:val="single" w:sz="8" w:color="0000EE"/>
            </w:tcBorders>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70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100" w:type="dxa"/>
            <w:vAlign w:val="bottom"/>
            <w:tcBorders>
              <w:top w:val="single" w:sz="8" w:color="0000EE"/>
            </w:tcBorders>
          </w:tcPr>
          <w:p>
            <w:pPr>
              <w:spacing w:after="0"/>
              <w:rPr>
                <w:sz w:val="7"/>
                <w:szCs w:val="7"/>
                <w:color w:val="auto"/>
              </w:rPr>
            </w:pPr>
          </w:p>
        </w:tc>
        <w:tc>
          <w:tcPr>
            <w:tcW w:w="540" w:type="dxa"/>
            <w:vAlign w:val="bottom"/>
            <w:tcBorders>
              <w:top w:val="single" w:sz="8" w:color="0000EE"/>
            </w:tcBorders>
          </w:tcPr>
          <w:p>
            <w:pPr>
              <w:spacing w:after="0"/>
              <w:rPr>
                <w:sz w:val="7"/>
                <w:szCs w:val="7"/>
                <w:color w:val="auto"/>
              </w:rPr>
            </w:pPr>
          </w:p>
        </w:tc>
        <w:tc>
          <w:tcPr>
            <w:tcW w:w="1680" w:type="dxa"/>
            <w:vAlign w:val="bottom"/>
            <w:tcBorders>
              <w:top w:val="single" w:sz="8" w:color="0000EE"/>
            </w:tcBorders>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Borders>
              <w:top w:val="single" w:sz="8" w:color="0000EE"/>
              <w:bottom w:val="single" w:sz="8" w:color="0000EE"/>
            </w:tcBorders>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Statements of Equity (unaudited) for the Three and Six Months Ended February 29, 2024 and February 28, 2023</w:t>
            </w:r>
          </w:p>
        </w:tc>
        <w:tc>
          <w:tcPr>
            <w:tcW w:w="720" w:type="dxa"/>
            <w:vAlign w:val="bottom"/>
            <w:gridSpan w:val="3"/>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Statements of Cash Flows (unaudited) for the Six Months Ended February 29, 2024 and February 28, 2023</w:t>
            </w:r>
          </w:p>
        </w:tc>
        <w:tc>
          <w:tcPr>
            <w:tcW w:w="720" w:type="dxa"/>
            <w:vAlign w:val="bottom"/>
            <w:gridSpan w:val="3"/>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1140" w:type="dxa"/>
            <w:vAlign w:val="bottom"/>
            <w:gridSpan w:val="4"/>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380" w:type="dxa"/>
            <w:vAlign w:val="bottom"/>
            <w:gridSpan w:val="2"/>
          </w:tcPr>
          <w:p>
            <w:pPr>
              <w:spacing w:after="0"/>
              <w:rPr>
                <w:sz w:val="24"/>
                <w:szCs w:val="24"/>
                <w:color w:val="auto"/>
              </w:rPr>
            </w:pPr>
          </w:p>
        </w:tc>
        <w:tc>
          <w:tcPr>
            <w:tcW w:w="64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60" w:type="dxa"/>
            <w:vAlign w:val="bottom"/>
            <w:gridSpan w:val="6"/>
          </w:tcPr>
          <w:p>
            <w:pPr>
              <w:spacing w:after="0"/>
              <w:rPr>
                <w:sz w:val="24"/>
                <w:szCs w:val="24"/>
                <w:color w:val="auto"/>
              </w:rPr>
            </w:pPr>
          </w:p>
        </w:tc>
        <w:tc>
          <w:tcPr>
            <w:tcW w:w="34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17</w:t>
            </w:r>
          </w:p>
        </w:tc>
        <w:tc>
          <w:tcPr>
            <w:tcW w:w="0" w:type="dxa"/>
            <w:vAlign w:val="bottom"/>
          </w:tcPr>
          <w:p>
            <w:pPr>
              <w:spacing w:after="0"/>
              <w:rPr>
                <w:sz w:val="1"/>
                <w:szCs w:val="1"/>
                <w:color w:val="auto"/>
              </w:rPr>
            </w:pPr>
          </w:p>
        </w:tc>
      </w:tr>
      <w:tr>
        <w:trPr>
          <w:trHeight w:val="277"/>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380" w:type="dxa"/>
            <w:vAlign w:val="bottom"/>
            <w:gridSpan w:val="2"/>
          </w:tcPr>
          <w:p>
            <w:pPr>
              <w:spacing w:after="0"/>
              <w:rPr>
                <w:sz w:val="24"/>
                <w:szCs w:val="24"/>
                <w:color w:val="auto"/>
              </w:rPr>
            </w:pP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460" w:type="dxa"/>
            <w:vAlign w:val="bottom"/>
            <w:gridSpan w:val="7"/>
          </w:tcPr>
          <w:p>
            <w:pPr>
              <w:spacing w:after="0"/>
              <w:rPr>
                <w:sz w:val="24"/>
                <w:szCs w:val="24"/>
                <w:color w:val="auto"/>
              </w:rPr>
            </w:pPr>
          </w:p>
        </w:tc>
        <w:tc>
          <w:tcPr>
            <w:tcW w:w="34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31</w:t>
            </w:r>
          </w:p>
        </w:tc>
        <w:tc>
          <w:tcPr>
            <w:tcW w:w="0" w:type="dxa"/>
            <w:vAlign w:val="bottom"/>
          </w:tcPr>
          <w:p>
            <w:pPr>
              <w:spacing w:after="0"/>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380" w:type="dxa"/>
            <w:vAlign w:val="bottom"/>
            <w:gridSpan w:val="2"/>
          </w:tcPr>
          <w:p>
            <w:pPr>
              <w:spacing w:after="0"/>
              <w:rPr>
                <w:sz w:val="24"/>
                <w:szCs w:val="24"/>
                <w:color w:val="auto"/>
              </w:rPr>
            </w:pP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7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PART II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OTHER INFORMATION</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380" w:type="dxa"/>
            <w:vAlign w:val="bottom"/>
            <w:tcBorders>
              <w:top w:val="single" w:sz="8" w:color="0000EE"/>
            </w:tcBorders>
            <w:gridSpan w:val="2"/>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20" w:type="dxa"/>
            <w:vAlign w:val="bottom"/>
            <w:tcBorders>
              <w:top w:val="single" w:sz="8" w:color="0000EE"/>
            </w:tcBorders>
            <w:gridSpan w:val="3"/>
          </w:tcPr>
          <w:p>
            <w:pPr>
              <w:spacing w:after="0"/>
              <w:rPr>
                <w:sz w:val="24"/>
                <w:szCs w:val="24"/>
                <w:color w:val="auto"/>
              </w:rPr>
            </w:pPr>
          </w:p>
        </w:tc>
        <w:tc>
          <w:tcPr>
            <w:tcW w:w="7860" w:type="dxa"/>
            <w:vAlign w:val="bottom"/>
            <w:gridSpan w:val="12"/>
          </w:tcPr>
          <w:p>
            <w:pPr>
              <w:spacing w:after="0"/>
              <w:rPr>
                <w:sz w:val="24"/>
                <w:szCs w:val="24"/>
                <w:color w:val="auto"/>
              </w:rPr>
            </w:pPr>
          </w:p>
        </w:tc>
        <w:tc>
          <w:tcPr>
            <w:tcW w:w="34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c>
          <w:tcPr>
            <w:tcW w:w="0" w:type="dxa"/>
            <w:vAlign w:val="bottom"/>
          </w:tcPr>
          <w:p>
            <w:pPr>
              <w:spacing w:after="0"/>
              <w:rPr>
                <w:sz w:val="1"/>
                <w:szCs w:val="1"/>
                <w:color w:val="auto"/>
              </w:rPr>
            </w:pPr>
          </w:p>
        </w:tc>
      </w:tr>
      <w:tr>
        <w:trPr>
          <w:trHeight w:val="277"/>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34</w:t>
            </w:r>
          </w:p>
        </w:tc>
        <w:tc>
          <w:tcPr>
            <w:tcW w:w="0" w:type="dxa"/>
            <w:vAlign w:val="bottom"/>
          </w:tcPr>
          <w:p>
            <w:pPr>
              <w:spacing w:after="0"/>
              <w:rPr>
                <w:sz w:val="1"/>
                <w:szCs w:val="1"/>
                <w:color w:val="auto"/>
              </w:rPr>
            </w:pPr>
          </w:p>
        </w:tc>
      </w:tr>
      <w:tr>
        <w:trPr>
          <w:trHeight w:val="277"/>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380" w:type="dxa"/>
            <w:vAlign w:val="bottom"/>
            <w:gridSpan w:val="2"/>
          </w:tcPr>
          <w:p>
            <w:pPr>
              <w:spacing w:after="0"/>
              <w:rPr>
                <w:sz w:val="24"/>
                <w:szCs w:val="24"/>
                <w:color w:val="auto"/>
              </w:rPr>
            </w:pPr>
          </w:p>
        </w:tc>
        <w:tc>
          <w:tcPr>
            <w:tcW w:w="43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480" w:type="dxa"/>
            <w:vAlign w:val="bottom"/>
            <w:gridSpan w:val="8"/>
          </w:tcPr>
          <w:p>
            <w:pPr>
              <w:spacing w:after="0"/>
              <w:rPr>
                <w:sz w:val="24"/>
                <w:szCs w:val="24"/>
                <w:color w:val="auto"/>
              </w:rPr>
            </w:pPr>
          </w:p>
        </w:tc>
        <w:tc>
          <w:tcPr>
            <w:tcW w:w="34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c>
          <w:tcPr>
            <w:tcW w:w="0" w:type="dxa"/>
            <w:vAlign w:val="bottom"/>
          </w:tcPr>
          <w:p>
            <w:pPr>
              <w:spacing w:after="0"/>
              <w:rPr>
                <w:sz w:val="1"/>
                <w:szCs w:val="1"/>
                <w:color w:val="auto"/>
              </w:rPr>
            </w:pPr>
          </w:p>
        </w:tc>
      </w:tr>
      <w:tr>
        <w:trPr>
          <w:trHeight w:val="277"/>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380" w:type="dxa"/>
            <w:vAlign w:val="bottom"/>
            <w:gridSpan w:val="2"/>
          </w:tcPr>
          <w:p>
            <w:pPr>
              <w:spacing w:after="0"/>
              <w:rPr>
                <w:sz w:val="24"/>
                <w:szCs w:val="24"/>
                <w:color w:val="auto"/>
              </w:rPr>
            </w:pPr>
          </w:p>
        </w:tc>
        <w:tc>
          <w:tcPr>
            <w:tcW w:w="23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500" w:type="dxa"/>
            <w:vAlign w:val="bottom"/>
            <w:gridSpan w:val="10"/>
          </w:tcPr>
          <w:p>
            <w:pPr>
              <w:spacing w:after="0"/>
              <w:rPr>
                <w:sz w:val="24"/>
                <w:szCs w:val="24"/>
                <w:color w:val="auto"/>
              </w:rPr>
            </w:pPr>
          </w:p>
        </w:tc>
        <w:tc>
          <w:tcPr>
            <w:tcW w:w="34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c>
          <w:tcPr>
            <w:tcW w:w="0" w:type="dxa"/>
            <w:vAlign w:val="bottom"/>
          </w:tcPr>
          <w:p>
            <w:pPr>
              <w:spacing w:after="0"/>
              <w:rPr>
                <w:sz w:val="1"/>
                <w:szCs w:val="1"/>
                <w:color w:val="auto"/>
              </w:rPr>
            </w:pPr>
          </w:p>
        </w:tc>
      </w:tr>
      <w:tr>
        <w:trPr>
          <w:trHeight w:val="277"/>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380" w:type="dxa"/>
            <w:vAlign w:val="bottom"/>
            <w:gridSpan w:val="2"/>
          </w:tcPr>
          <w:p>
            <w:pPr>
              <w:spacing w:after="0"/>
              <w:rPr>
                <w:sz w:val="24"/>
                <w:szCs w:val="24"/>
                <w:color w:val="auto"/>
              </w:rPr>
            </w:pP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24"/>
                <w:szCs w:val="24"/>
                <w:color w:val="auto"/>
              </w:rPr>
            </w:pPr>
          </w:p>
        </w:tc>
        <w:tc>
          <w:tcPr>
            <w:tcW w:w="8060" w:type="dxa"/>
            <w:vAlign w:val="bottom"/>
            <w:gridSpan w:val="13"/>
          </w:tcPr>
          <w:p>
            <w:pPr>
              <w:spacing w:after="0"/>
              <w:rPr>
                <w:sz w:val="24"/>
                <w:szCs w:val="24"/>
                <w:color w:val="auto"/>
              </w:rPr>
            </w:pPr>
          </w:p>
        </w:tc>
        <w:tc>
          <w:tcPr>
            <w:tcW w:w="34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0" w:type="dxa"/>
            <w:vAlign w:val="bottom"/>
          </w:tcPr>
          <w:p>
            <w:pPr>
              <w:spacing w:after="0"/>
              <w:rPr>
                <w:sz w:val="1"/>
                <w:szCs w:val="1"/>
                <w:color w:val="auto"/>
              </w:rPr>
            </w:pPr>
          </w:p>
        </w:tc>
      </w:tr>
      <w:tr>
        <w:trPr>
          <w:trHeight w:val="277"/>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380" w:type="dxa"/>
            <w:vAlign w:val="bottom"/>
            <w:gridSpan w:val="2"/>
          </w:tcPr>
          <w:p>
            <w:pPr>
              <w:spacing w:after="0"/>
              <w:rPr>
                <w:sz w:val="24"/>
                <w:szCs w:val="24"/>
                <w:color w:val="auto"/>
              </w:rPr>
            </w:pPr>
          </w:p>
        </w:tc>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9220" w:type="dxa"/>
            <w:vAlign w:val="bottom"/>
            <w:gridSpan w:val="19"/>
          </w:tcPr>
          <w:p>
            <w:pPr>
              <w:spacing w:after="0"/>
              <w:rPr>
                <w:sz w:val="24"/>
                <w:szCs w:val="24"/>
                <w:color w:val="auto"/>
              </w:rPr>
            </w:pPr>
          </w:p>
        </w:tc>
        <w:tc>
          <w:tcPr>
            <w:tcW w:w="34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0" w:type="dxa"/>
            <w:vAlign w:val="bottom"/>
          </w:tcPr>
          <w:p>
            <w:pPr>
              <w:spacing w:after="0"/>
              <w:rPr>
                <w:sz w:val="1"/>
                <w:szCs w:val="1"/>
                <w:color w:val="auto"/>
              </w:rPr>
            </w:pPr>
          </w:p>
        </w:tc>
      </w:tr>
      <w:tr>
        <w:trPr>
          <w:trHeight w:val="277"/>
        </w:trPr>
        <w:tc>
          <w:tcPr>
            <w:tcW w:w="107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36</w:t>
            </w:r>
          </w:p>
        </w:tc>
        <w:tc>
          <w:tcPr>
            <w:tcW w:w="0" w:type="dxa"/>
            <w:vAlign w:val="bottom"/>
          </w:tcPr>
          <w:p>
            <w:pPr>
              <w:spacing w:after="0"/>
              <w:rPr>
                <w:sz w:val="1"/>
                <w:szCs w:val="1"/>
                <w:color w:val="auto"/>
              </w:rPr>
            </w:pPr>
          </w:p>
        </w:tc>
      </w:tr>
      <w:tr>
        <w:trPr>
          <w:trHeight w:val="277"/>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200" w:type="dxa"/>
            <w:vAlign w:val="bottom"/>
            <w:gridSpan w:val="14"/>
          </w:tcPr>
          <w:p>
            <w:pPr>
              <w:jc w:val="right"/>
              <w:ind w:right="980"/>
              <w:spacing w:after="0"/>
              <w:rPr>
                <w:sz w:val="20"/>
                <w:szCs w:val="20"/>
                <w:color w:val="auto"/>
              </w:rPr>
            </w:pPr>
            <w:r>
              <w:rPr>
                <w:rFonts w:ascii="Times New Roman" w:cs="Times New Roman" w:eastAsia="Times New Roman" w:hAnsi="Times New Roman"/>
                <w:sz w:val="18"/>
                <w:szCs w:val="18"/>
                <w:color w:val="auto"/>
              </w:rPr>
              <w:t>_________________</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Part I. Financial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Forward-Looking Statements.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 w:name="page3"/>
    <w:bookmarkEnd w:id="2"/>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unless the context otherwise requires, refer to Northern Technologies International Corporation and its wholly-owned and majority-owned subsidiaries, all of which are consolidated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China, NTIC (Shanghai) Co., Ltd.;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Europe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Germany, NTIC Europe GmbH;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Mexico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Mexico, ZERUST-EXCOR MEXICO, S. de R.L. de C.V.;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India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subsidiary in India, HNTI Limited (formerly Harita-NTI Limited); and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Asean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majority-owned holding company subsidiary, NTI Asean LLC, which holds investments in certain entities that operate in the Association of Southeast Asian Nations (ASEAN) region.</w:t>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 do not include the accounts of any of its joint ventures. Except as otherwise indicated, references in this report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joint ventures do not include any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or majority-owned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joint venture in Germany, Excor Korrosionsschutz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23"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AS OF FEBRUARY 29, 2024 (UNAUDITED)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 AUGUST 31, 2023 (AUDITED)</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54"/>
        </w:trPr>
        <w:tc>
          <w:tcPr>
            <w:tcW w:w="106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480"/>
        </w:trPr>
        <w:tc>
          <w:tcPr>
            <w:tcW w:w="10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29, 2024</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2023</w:t>
            </w:r>
          </w:p>
        </w:tc>
      </w:tr>
      <w:tr>
        <w:trPr>
          <w:trHeight w:val="209"/>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4,835,031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5,406,173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Trade, excluding joint ventures, less allowance for doubtful accounts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of $533,000 as of February 29, 2024 and August 31, 2023</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14,800,592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15,645,130</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Trade, joint ventures</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891,929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187,912</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1,227,711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1,296,594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Dividend receivable from joint venture</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509,716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1,986,027</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34,202</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12,538,859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13,096,489</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2,529,476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2,019,029</w:t>
            </w:r>
          </w:p>
        </w:tc>
      </w:tr>
      <w:tr>
        <w:trPr>
          <w:trHeight w:val="209"/>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37,333,314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39,671,556</w:t>
            </w:r>
          </w:p>
        </w:tc>
      </w:tr>
      <w:tr>
        <w:trPr>
          <w:trHeight w:val="210"/>
        </w:trPr>
        <w:tc>
          <w:tcPr>
            <w:tcW w:w="8000" w:type="dxa"/>
            <w:vAlign w:val="bottom"/>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14,963,186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14,065,354</w:t>
            </w:r>
          </w:p>
        </w:tc>
      </w:tr>
      <w:tr>
        <w:trPr>
          <w:trHeight w:val="20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23,460,869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23,705,714</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504,913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530,944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Intangible asset, net</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5,926,423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6,159,485</w:t>
            </w:r>
          </w:p>
        </w:tc>
      </w:tr>
      <w:tr>
        <w:trPr>
          <w:trHeight w:val="216"/>
        </w:trPr>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6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336,169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428,874</w:t>
            </w: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35,010,750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35,607,393</w:t>
            </w: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87,307,250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89,344,303</w:t>
            </w:r>
          </w:p>
        </w:tc>
      </w:tr>
      <w:tr>
        <w:trPr>
          <w:trHeight w:val="20"/>
        </w:trPr>
        <w:tc>
          <w:tcPr>
            <w:tcW w:w="10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Line of credit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1,192,645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3,600,000</w:t>
            </w:r>
          </w:p>
        </w:tc>
      </w:tr>
      <w:tr>
        <w:trPr>
          <w:trHeight w:val="216"/>
        </w:trPr>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3"/>
              </w:rPr>
              <w:t>Term loan</w:t>
            </w:r>
          </w:p>
        </w:tc>
        <w:tc>
          <w:tcPr>
            <w:tcW w:w="6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2,782,686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2,757,176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6,487,718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6,056,329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1,425,274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2,305,400</w:t>
            </w:r>
          </w:p>
        </w:tc>
      </w:tr>
      <w:tr>
        <w:trPr>
          <w:trHeight w:val="216"/>
        </w:trPr>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6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1,284,894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1,648,615</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170,840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340,799</w:t>
            </w:r>
          </w:p>
        </w:tc>
      </w:tr>
      <w:tr>
        <w:trPr>
          <w:trHeight w:val="210"/>
        </w:trPr>
        <w:tc>
          <w:tcPr>
            <w:tcW w:w="8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13,357,855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16,721,372</w:t>
            </w:r>
          </w:p>
        </w:tc>
      </w:tr>
      <w:tr>
        <w:trPr>
          <w:trHeight w:val="20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1,836,059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1,836,059</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less current portion</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165,329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88,075</w:t>
            </w:r>
          </w:p>
        </w:tc>
      </w:tr>
      <w:tr>
        <w:trPr>
          <w:trHeight w:val="210"/>
        </w:trPr>
        <w:tc>
          <w:tcPr>
            <w:tcW w:w="8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2,001,388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1,924,134</w:t>
            </w:r>
          </w:p>
        </w:tc>
      </w:tr>
      <w:tr>
        <w:trPr>
          <w:trHeight w:val="209"/>
        </w:trPr>
        <w:tc>
          <w:tcPr>
            <w:tcW w:w="8000" w:type="dxa"/>
            <w:vAlign w:val="bottom"/>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6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15,000,000 shares as of</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February 29, 2024 and August 31, 2023; issued and outstanding 9,427,598 and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9,424,101, respectively</w:t>
            </w:r>
          </w:p>
        </w:tc>
        <w:tc>
          <w:tcPr>
            <w:tcW w:w="3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188,552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188,482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22,721,667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21,986,767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52,281,250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51,004,427</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(6,838,890)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(6,823,403)</w:t>
            </w: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68,352,579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66,356,273</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3,595,428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4,342,524</w:t>
            </w:r>
          </w:p>
        </w:tc>
      </w:tr>
      <w:tr>
        <w:trPr>
          <w:trHeight w:val="209"/>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71,948,007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70,698,797</w:t>
            </w:r>
          </w:p>
        </w:tc>
      </w:tr>
      <w:tr>
        <w:trPr>
          <w:trHeight w:val="249"/>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87,307,250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89,344,303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366"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FEBRUARY 29, 2024 AND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980" w:type="dxa"/>
            <w:vAlign w:val="bottom"/>
          </w:tcPr>
          <w:p>
            <w:pPr>
              <w:spacing w:after="0"/>
              <w:rPr>
                <w:sz w:val="16"/>
                <w:szCs w:val="16"/>
                <w:color w:val="auto"/>
              </w:rPr>
            </w:pPr>
          </w:p>
        </w:tc>
        <w:tc>
          <w:tcPr>
            <w:tcW w:w="1380" w:type="dxa"/>
            <w:vAlign w:val="bottom"/>
            <w:gridSpan w:val="3"/>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20,842,538</w:t>
            </w:r>
          </w:p>
        </w:tc>
        <w:tc>
          <w:tcPr>
            <w:tcW w:w="12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18,270,825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41,024,213</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38,223,591</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12,503,374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11,967,757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25,350,775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25,567,399</w:t>
            </w:r>
          </w:p>
        </w:tc>
      </w:tr>
      <w:tr>
        <w:trPr>
          <w:trHeight w:val="209"/>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8,339,164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6,303,068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15,673,438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12,656,192</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1,177,990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1,128,731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2,280,231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2,318,135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1,303,059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1,252,746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2,552,017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2,434,551</w:t>
            </w:r>
          </w:p>
        </w:tc>
      </w:tr>
      <w:tr>
        <w:trPr>
          <w:trHeight w:val="209"/>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2,481,049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2,381,477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4,832,248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4,752,686</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4,134,894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3,595,717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7,820,952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7,103,151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3,236,792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3,134,189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6,753,853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6,264,788</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1,242,256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1,141,083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2,348,177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2,397,807</w:t>
            </w:r>
          </w:p>
        </w:tc>
      </w:tr>
      <w:tr>
        <w:trPr>
          <w:trHeight w:val="210"/>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8,613,942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7,870,989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16,922,982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15,765,746</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2,206,271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813,556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3,582,704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1,643,132</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29,210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75,652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9,619</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(188,896)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(206,475)</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2,157,723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701,863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3,469,460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1,446,276</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289,195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181,795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515,991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292,528</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1,868,528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520,068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2,953,469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1,153,748</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167,359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108,571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356,779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240,009</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1,701,169</w:t>
            </w:r>
          </w:p>
        </w:tc>
        <w:tc>
          <w:tcPr>
            <w:tcW w:w="12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411,497</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2,596,690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913,739</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r>
      <w:tr>
        <w:trPr>
          <w:trHeight w:val="197"/>
        </w:trPr>
        <w:tc>
          <w:tcPr>
            <w:tcW w:w="59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30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30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0.09</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ASSUMED OUTSTANDING: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9,427,598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9,366,357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9,427,588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9,353,989</w:t>
            </w:r>
          </w:p>
        </w:tc>
      </w:tr>
      <w:tr>
        <w:trPr>
          <w:trHeight w:val="197"/>
        </w:trPr>
        <w:tc>
          <w:tcPr>
            <w:tcW w:w="59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9,723,671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9,747,461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9,715,121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9,745,166</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59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3"/>
        </w:trPr>
        <w:tc>
          <w:tcPr>
            <w:tcW w:w="7360" w:type="dxa"/>
            <w:vAlign w:val="bottom"/>
            <w:gridSpan w:val="4"/>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59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FEBRUARY 29, 2024 AND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26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1,868,528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520,068</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2,953,469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1,153,748</w:t>
            </w:r>
          </w:p>
        </w:tc>
        <w:tc>
          <w:tcPr>
            <w:tcW w:w="0" w:type="dxa"/>
            <w:vAlign w:val="bottom"/>
          </w:tcPr>
          <w:p>
            <w:pPr>
              <w:spacing w:after="0"/>
              <w:rPr>
                <w:sz w:val="1"/>
                <w:szCs w:val="1"/>
                <w:color w:val="auto"/>
              </w:rPr>
            </w:pPr>
          </w:p>
        </w:tc>
      </w:tr>
      <w:tr>
        <w:trPr>
          <w:trHeight w:val="198"/>
        </w:trPr>
        <w:tc>
          <w:tcPr>
            <w:tcW w:w="59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OTHER COMPREHENSIVE (LOSS) INCOME – FOREIGN</w:t>
            </w:r>
          </w:p>
        </w:tc>
        <w:tc>
          <w:tcPr>
            <w:tcW w:w="2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(345,605)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534,713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(44,286)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480,796</w:t>
            </w:r>
          </w:p>
        </w:tc>
        <w:tc>
          <w:tcPr>
            <w:tcW w:w="0" w:type="dxa"/>
            <w:vAlign w:val="bottom"/>
          </w:tcPr>
          <w:p>
            <w:pPr>
              <w:spacing w:after="0"/>
              <w:rPr>
                <w:sz w:val="1"/>
                <w:szCs w:val="1"/>
                <w:color w:val="auto"/>
              </w:rPr>
            </w:pPr>
          </w:p>
        </w:tc>
      </w:tr>
      <w:tr>
        <w:trPr>
          <w:trHeight w:val="22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1,522,923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1,054,781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2,909,183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1,634,544</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COMPREHENSIVE LOSS ATTRIBUTABLE TO NON-CONTROLLING</w:t>
            </w:r>
          </w:p>
        </w:tc>
        <w:tc>
          <w:tcPr>
            <w:tcW w:w="2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(250,183)</w:t>
            </w:r>
          </w:p>
        </w:tc>
        <w:tc>
          <w:tcPr>
            <w:tcW w:w="0" w:type="dxa"/>
            <w:vAlign w:val="bottom"/>
          </w:tcPr>
          <w:p>
            <w:pPr>
              <w:spacing w:after="0"/>
              <w:rPr>
                <w:sz w:val="1"/>
                <w:szCs w:val="1"/>
                <w:color w:val="auto"/>
              </w:rPr>
            </w:pPr>
          </w:p>
        </w:tc>
      </w:tr>
      <w:tr>
        <w:trPr>
          <w:trHeight w:val="221"/>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NTIC</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1,378,740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942,823</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2,581,203</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1,384,361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FEBRUARY 29, 2024 AND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6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 EQUITY – THREE MONTHS ENDED</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FEBRUARY 29, 2024 AND FEBRUARY 28, 2023</w:t>
            </w:r>
          </w:p>
        </w:tc>
        <w:tc>
          <w:tcPr>
            <w:tcW w:w="9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9,366,357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187,327</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$20,721,235</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$50,563,210</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(7,305,836)</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$ 3,707,259</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$67,873,195</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337,486</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337,486</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(655,645)</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(655,645)</w:t>
            </w:r>
          </w:p>
        </w:tc>
        <w:tc>
          <w:tcPr>
            <w:tcW w:w="0" w:type="dxa"/>
            <w:vAlign w:val="bottom"/>
          </w:tcPr>
          <w:p>
            <w:pPr>
              <w:spacing w:after="0"/>
              <w:rPr>
                <w:sz w:val="1"/>
                <w:szCs w:val="1"/>
                <w:color w:val="auto"/>
              </w:rPr>
            </w:pP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(375,574)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(375,574)</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411,497</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108,571</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520,068</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531,326</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3,387</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534,713</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28,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9,366,357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187,327</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$21,058,721</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$50,319,062</w:t>
            </w:r>
          </w:p>
        </w:tc>
        <w:tc>
          <w:tcPr>
            <w:tcW w:w="4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(6,774,510)</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$ 3,443,643</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$68,234,243</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9,427,598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188,552</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$22,377,726</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$51,240,015</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(6,516,461)</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$ 3,726,321</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$71,016,153</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343,941</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343,941</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(659,934)</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(659,934)</w:t>
            </w:r>
          </w:p>
        </w:tc>
        <w:tc>
          <w:tcPr>
            <w:tcW w:w="0" w:type="dxa"/>
            <w:vAlign w:val="bottom"/>
          </w:tcPr>
          <w:p>
            <w:pPr>
              <w:spacing w:after="0"/>
              <w:rPr>
                <w:sz w:val="1"/>
                <w:szCs w:val="1"/>
                <w:color w:val="auto"/>
              </w:rPr>
            </w:pP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(275,076)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(275,076)</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1,701,169</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167,359</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1,868,528</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(322,429)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(345,605)</w:t>
            </w: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29,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9,427,598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188,552</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$22,721,667</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$52,281,250</w:t>
            </w:r>
          </w:p>
        </w:tc>
        <w:tc>
          <w:tcPr>
            <w:tcW w:w="4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(6,838,890)</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$ 3,595,428</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$71,948,007</w:t>
            </w:r>
          </w:p>
        </w:tc>
        <w:tc>
          <w:tcPr>
            <w:tcW w:w="0" w:type="dxa"/>
            <w:vAlign w:val="bottom"/>
          </w:tcPr>
          <w:p>
            <w:pPr>
              <w:spacing w:after="0"/>
              <w:rPr>
                <w:sz w:val="1"/>
                <w:szCs w:val="1"/>
                <w:color w:val="auto"/>
              </w:rPr>
            </w:pPr>
          </w:p>
        </w:tc>
      </w:tr>
      <w:tr>
        <w:trPr>
          <w:trHeight w:val="390"/>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 EQUITY – SIX MONTHS ENDED FEBRUARY 29,</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2024 AND FEBRUARY 28, 2023</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9,232,483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184,650</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$19,939,131</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$50,716,613</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(7,245,132)</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$ 3,649,034</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$67,244,296</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130,254</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2,605</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413,958</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416,563</w:t>
            </w:r>
          </w:p>
        </w:tc>
        <w:tc>
          <w:tcPr>
            <w:tcW w:w="0" w:type="dxa"/>
            <w:vAlign w:val="bottom"/>
          </w:tcPr>
          <w:p>
            <w:pPr>
              <w:spacing w:after="0"/>
              <w:rPr>
                <w:sz w:val="1"/>
                <w:szCs w:val="1"/>
                <w:color w:val="auto"/>
              </w:rPr>
            </w:pPr>
          </w:p>
        </w:tc>
      </w:tr>
      <w:tr>
        <w:trPr>
          <w:trHeight w:val="198"/>
        </w:trPr>
        <w:tc>
          <w:tcPr>
            <w:tcW w:w="3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38,624</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38,696</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667,008</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667,008</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(1,311,290)</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(1,311,290)</w:t>
            </w:r>
          </w:p>
        </w:tc>
        <w:tc>
          <w:tcPr>
            <w:tcW w:w="0" w:type="dxa"/>
            <w:vAlign w:val="bottom"/>
          </w:tcPr>
          <w:p>
            <w:pPr>
              <w:spacing w:after="0"/>
              <w:rPr>
                <w:sz w:val="1"/>
                <w:szCs w:val="1"/>
                <w:color w:val="auto"/>
              </w:rPr>
            </w:pP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(455,574)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(455,574)</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913,739</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240,009</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1,153,748</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470,622</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10,174</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480,796</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28,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9,366,357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187,327</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$21,058,721</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$50,319,062</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(6,774,510)</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$ 3,443,643</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$68,234,243</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9,424,102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188,482</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$21,986,767</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$51,004,426</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(6,823,403)</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$ 4,342,524</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$70,698,796</w:t>
            </w:r>
          </w:p>
        </w:tc>
        <w:tc>
          <w:tcPr>
            <w:tcW w:w="0" w:type="dxa"/>
            <w:vAlign w:val="bottom"/>
          </w:tcPr>
          <w:p>
            <w:pPr>
              <w:spacing w:after="0"/>
              <w:rPr>
                <w:sz w:val="1"/>
                <w:szCs w:val="1"/>
                <w:color w:val="auto"/>
              </w:rPr>
            </w:pP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40,026</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40,096</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694,874</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694,874</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(1,319,866)</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(1,319,866)</w:t>
            </w:r>
          </w:p>
        </w:tc>
        <w:tc>
          <w:tcPr>
            <w:tcW w:w="0" w:type="dxa"/>
            <w:vAlign w:val="bottom"/>
          </w:tcPr>
          <w:p>
            <w:pPr>
              <w:spacing w:after="0"/>
              <w:rPr>
                <w:sz w:val="1"/>
                <w:szCs w:val="1"/>
                <w:color w:val="auto"/>
              </w:rPr>
            </w:pPr>
          </w:p>
        </w:tc>
      </w:tr>
      <w:tr>
        <w:trPr>
          <w:trHeight w:val="198"/>
        </w:trPr>
        <w:tc>
          <w:tcPr>
            <w:tcW w:w="3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(1,075,076)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(1,075,076)</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2,596,690</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356,779</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2,953,469</w:t>
            </w:r>
          </w:p>
        </w:tc>
        <w:tc>
          <w:tcPr>
            <w:tcW w:w="0" w:type="dxa"/>
            <w:vAlign w:val="bottom"/>
          </w:tcPr>
          <w:p>
            <w:pPr>
              <w:spacing w:after="0"/>
              <w:rPr>
                <w:sz w:val="1"/>
                <w:szCs w:val="1"/>
                <w:color w:val="auto"/>
              </w:rPr>
            </w:pPr>
          </w:p>
        </w:tc>
      </w:tr>
      <w:tr>
        <w:trPr>
          <w:trHeight w:val="216"/>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(44,286)</w:t>
            </w:r>
          </w:p>
        </w:tc>
        <w:tc>
          <w:tcPr>
            <w:tcW w:w="0" w:type="dxa"/>
            <w:vAlign w:val="bottom"/>
          </w:tcPr>
          <w:p>
            <w:pPr>
              <w:spacing w:after="0"/>
              <w:rPr>
                <w:sz w:val="1"/>
                <w:szCs w:val="1"/>
                <w:color w:val="auto"/>
              </w:rPr>
            </w:pPr>
          </w:p>
        </w:tc>
      </w:tr>
      <w:tr>
        <w:trPr>
          <w:trHeight w:val="210"/>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FEBRUARY 29,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9,427,598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188,552</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$22,721,667</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$52,281,250</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(6,838,890)</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$ 3,595,428</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$71,948,007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FEBRUARY 29, 2024 AND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0" w:type="dxa"/>
            <w:vAlign w:val="bottom"/>
          </w:tcPr>
          <w:p>
            <w:pPr>
              <w:spacing w:after="0"/>
              <w:rPr>
                <w:sz w:val="1"/>
                <w:szCs w:val="1"/>
                <w:color w:val="auto"/>
              </w:rPr>
            </w:pPr>
          </w:p>
        </w:tc>
      </w:tr>
      <w:tr>
        <w:trPr>
          <w:trHeight w:val="238"/>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2,953,469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1,153,748</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694,874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667,008</w:t>
            </w:r>
          </w:p>
        </w:tc>
        <w:tc>
          <w:tcPr>
            <w:tcW w:w="0" w:type="dxa"/>
            <w:vAlign w:val="bottom"/>
          </w:tcPr>
          <w:p>
            <w:pPr>
              <w:spacing w:after="0"/>
              <w:rPr>
                <w:sz w:val="1"/>
                <w:szCs w:val="1"/>
                <w:color w:val="auto"/>
              </w:rPr>
            </w:pP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597,403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488,838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295,226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294,873</w:t>
            </w:r>
          </w:p>
        </w:tc>
        <w:tc>
          <w:tcPr>
            <w:tcW w:w="0" w:type="dxa"/>
            <w:vAlign w:val="bottom"/>
          </w:tcPr>
          <w:p>
            <w:pPr>
              <w:spacing w:after="0"/>
              <w:rPr>
                <w:sz w:val="1"/>
                <w:szCs w:val="1"/>
                <w:color w:val="auto"/>
              </w:rPr>
            </w:pP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on disposable of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(2,280,231)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(2,318,135)</w:t>
            </w:r>
          </w:p>
        </w:tc>
        <w:tc>
          <w:tcPr>
            <w:tcW w:w="0" w:type="dxa"/>
            <w:vAlign w:val="bottom"/>
          </w:tcPr>
          <w:p>
            <w:pPr>
              <w:spacing w:after="0"/>
              <w:rPr>
                <w:sz w:val="1"/>
                <w:szCs w:val="1"/>
                <w:color w:val="auto"/>
              </w:rPr>
            </w:pP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2,391,251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3,464,736</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(70,166)</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Trade, excluding joint ventures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900,127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(338,014)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Trade, joint ventures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(917,073)</w:t>
            </w:r>
          </w:p>
        </w:tc>
        <w:tc>
          <w:tcPr>
            <w:tcW w:w="0" w:type="dxa"/>
            <w:vAlign w:val="bottom"/>
          </w:tcPr>
          <w:p>
            <w:pPr>
              <w:spacing w:after="0"/>
              <w:rPr>
                <w:sz w:val="1"/>
                <w:szCs w:val="1"/>
                <w:color w:val="auto"/>
              </w:rPr>
            </w:pPr>
          </w:p>
        </w:tc>
      </w:tr>
      <w:tr>
        <w:trPr>
          <w:trHeight w:val="216"/>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656,210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Dividends receivable from joint venture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1,986,027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(313,270)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568,467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996,522</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259,712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417,650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(1,293,897)</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(29,503)</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(1,247,746)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(488,221)</w:t>
            </w:r>
          </w:p>
        </w:tc>
        <w:tc>
          <w:tcPr>
            <w:tcW w:w="0" w:type="dxa"/>
            <w:vAlign w:val="bottom"/>
          </w:tcPr>
          <w:p>
            <w:pPr>
              <w:spacing w:after="0"/>
              <w:rPr>
                <w:sz w:val="1"/>
                <w:szCs w:val="1"/>
                <w:color w:val="auto"/>
              </w:rPr>
            </w:pPr>
          </w:p>
        </w:tc>
      </w:tr>
      <w:tr>
        <w:trPr>
          <w:trHeight w:val="209"/>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5,643,007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2,204,834</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5,590</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(1,871,903)</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patents</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(70,023)</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(1,505,927)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(1,923,336)</w:t>
            </w:r>
          </w:p>
        </w:tc>
        <w:tc>
          <w:tcPr>
            <w:tcW w:w="0" w:type="dxa"/>
            <w:vAlign w:val="bottom"/>
          </w:tcPr>
          <w:p>
            <w:pPr>
              <w:spacing w:after="0"/>
              <w:rPr>
                <w:sz w:val="1"/>
                <w:szCs w:val="1"/>
                <w:color w:val="auto"/>
              </w:rPr>
            </w:pPr>
          </w:p>
        </w:tc>
      </w:tr>
      <w:tr>
        <w:trPr>
          <w:trHeight w:val="209"/>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(payments) proceeds from line of credit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(2,407,355)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1,200,000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 on NTIC common stock</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(1,319,866)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(1,311,290)</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416,563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received by non-controlling interest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(455,574)</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40,096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38,696</w:t>
            </w:r>
          </w:p>
        </w:tc>
        <w:tc>
          <w:tcPr>
            <w:tcW w:w="0" w:type="dxa"/>
            <w:vAlign w:val="bottom"/>
          </w:tcPr>
          <w:p>
            <w:pPr>
              <w:spacing w:after="0"/>
              <w:rPr>
                <w:sz w:val="1"/>
                <w:szCs w:val="1"/>
                <w:color w:val="auto"/>
              </w:rPr>
            </w:pPr>
          </w:p>
        </w:tc>
      </w:tr>
      <w:tr>
        <w:trPr>
          <w:trHeight w:val="209"/>
        </w:trPr>
        <w:tc>
          <w:tcPr>
            <w:tcW w:w="75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(4,762,201)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(111,605)</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53,978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(52,672)</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117,221</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5,406,174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5,333,890</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4,835,031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5,451,111</w:t>
            </w:r>
          </w:p>
        </w:tc>
        <w:tc>
          <w:tcPr>
            <w:tcW w:w="0" w:type="dxa"/>
            <w:vAlign w:val="bottom"/>
          </w:tcPr>
          <w:p>
            <w:pPr>
              <w:spacing w:after="0"/>
              <w:rPr>
                <w:sz w:val="1"/>
                <w:szCs w:val="1"/>
                <w:color w:val="auto"/>
              </w:rPr>
            </w:pPr>
          </w:p>
        </w:tc>
      </w:tr>
      <w:tr>
        <w:trPr>
          <w:trHeight w:val="412"/>
        </w:trPr>
        <w:tc>
          <w:tcPr>
            <w:tcW w:w="7540" w:type="dxa"/>
            <w:vAlign w:val="bottom"/>
            <w:tcBorders>
              <w:top w:val="single" w:sz="8" w:color="CCEEFF"/>
            </w:tcBorders>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8" w:name="page9"/>
    <w:bookmarkEnd w:id="8"/>
    <w:p>
      <w:pPr>
        <w:ind w:right="3960"/>
        <w:spacing w:after="0" w:line="317"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29, 2024 and August 31, 2023 and the results of the Company’s operations for the three and six months ended February 29, 2024 and February 28, 2023, the changes in stockholders’ equity for the three and six months ended February 29, 2024 and February 28, 2023, and the Company’s cash flows for the six months ended February 29, 2024 and February 28, 2023, in conformity with accounting principles generally accepted in the United States of America (U.S. GAAP).</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related notes contained in the Company’s annual report on Form 10-K for the fiscal year ended August 31, 2023. These consolidated financial statements also should be read in conjunction with the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section appearing in this report.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six months ended February 29, 2024 are not necessarily indicative of the results that may be expected for the full fiscal year ending August 31,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evaluates events occurring after the date of the consolidated financial statements, through the date the consolidated financial statements were available to be issued, requiring recording or disclosure in the consolidated financial statements.</w:t>
      </w:r>
    </w:p>
    <w:p>
      <w:pPr>
        <w:spacing w:after="0" w:line="200" w:lineRule="exact"/>
        <w:rPr>
          <w:sz w:val="20"/>
          <w:szCs w:val="20"/>
          <w:color w:val="auto"/>
        </w:rPr>
      </w:pPr>
    </w:p>
    <w:p>
      <w:pPr>
        <w:spacing w:after="0" w:line="201" w:lineRule="exact"/>
        <w:rPr>
          <w:sz w:val="20"/>
          <w:szCs w:val="20"/>
          <w:color w:val="auto"/>
        </w:rPr>
      </w:pPr>
    </w:p>
    <w:p>
      <w:pPr>
        <w:ind w:left="600" w:hanging="592"/>
        <w:spacing w:after="0"/>
        <w:tabs>
          <w:tab w:leader="none" w:pos="6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Measurement of Credit Losses on Financial Instruments, which revises guidance for the accounting for credit losses on financial instruments within its scope, and in November 2018, 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Entities are required to apply the standard’s provisions as a cumulative-effect adjustment to retained earnings as of the beginning of the first reporting period in which the guidance is adopted. The Company adopted this pronouncement on September 1, 2023 which did not have a material impact on the Company’s consolidated financial position or operating results.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ind w:left="540" w:hanging="532"/>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6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 29, 2024</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August 31, 2023</w:t>
            </w: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4,610,217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4,960,355</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7,928,642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8,136,134</w:t>
            </w:r>
          </w:p>
        </w:tc>
      </w:tr>
      <w:tr>
        <w:trPr>
          <w:trHeight w:val="230"/>
        </w:trPr>
        <w:tc>
          <w:tcPr>
            <w:tcW w:w="56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12,538,859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13,096,489</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5600" w:type="dxa"/>
            <w:vAlign w:val="bottom"/>
            <w:gridSpan w:val="2"/>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29, 2024</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August 31, 2023</w:t>
            </w:r>
          </w:p>
        </w:tc>
        <w:tc>
          <w:tcPr>
            <w:tcW w:w="0" w:type="dxa"/>
            <w:vAlign w:val="bottom"/>
          </w:tcPr>
          <w:p>
            <w:pPr>
              <w:spacing w:after="0"/>
              <w:rPr>
                <w:sz w:val="1"/>
                <w:szCs w:val="1"/>
                <w:color w:val="auto"/>
              </w:rPr>
            </w:pPr>
          </w:p>
        </w:tc>
      </w:tr>
      <w:tr>
        <w:trPr>
          <w:trHeight w:val="209"/>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56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496,965</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496,965</w:t>
            </w: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18,752,517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17,250,392</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6,057,366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5,984,364</w:t>
            </w:r>
          </w:p>
        </w:tc>
        <w:tc>
          <w:tcPr>
            <w:tcW w:w="0" w:type="dxa"/>
            <w:vAlign w:val="bottom"/>
          </w:tcPr>
          <w:p>
            <w:pPr>
              <w:spacing w:after="0"/>
              <w:rPr>
                <w:sz w:val="1"/>
                <w:szCs w:val="1"/>
                <w:color w:val="auto"/>
              </w:rPr>
            </w:pPr>
          </w:p>
        </w:tc>
      </w:tr>
      <w:tr>
        <w:trPr>
          <w:trHeight w:val="209"/>
        </w:trPr>
        <w:tc>
          <w:tcPr>
            <w:tcW w:w="46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25,306,848</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23,731,721</w:t>
            </w:r>
          </w:p>
        </w:tc>
        <w:tc>
          <w:tcPr>
            <w:tcW w:w="0" w:type="dxa"/>
            <w:vAlign w:val="bottom"/>
          </w:tcPr>
          <w:p>
            <w:pPr>
              <w:spacing w:after="0"/>
              <w:rPr>
                <w:sz w:val="1"/>
                <w:szCs w:val="1"/>
                <w:color w:val="auto"/>
              </w:rPr>
            </w:pPr>
          </w:p>
        </w:tc>
      </w:tr>
      <w:tr>
        <w:trPr>
          <w:trHeight w:val="162"/>
        </w:trPr>
        <w:tc>
          <w:tcPr>
            <w:tcW w:w="5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vMerge w:val="restart"/>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(10,343,662</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680" w:type="dxa"/>
            <w:vAlign w:val="bottom"/>
            <w:tcBorders>
              <w:bottom w:val="single" w:sz="8" w:color="CCEEFF"/>
            </w:tcBorders>
            <w:gridSpan w:val="2"/>
            <w:vMerge w:val="continue"/>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(9,666,367</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14,963,186</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14,065,354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expense was $290,393 and $597,403 for the three and six months ended February 29, 2024, respectively, compared to $225,962 and $488,838 for the three and six months ended February 28, 2023, respectively.</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and trademarks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and trademarks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As of February 29, 2024</w:t>
      </w:r>
    </w:p>
    <w:p>
      <w:pPr>
        <w:spacing w:after="0" w:line="31" w:lineRule="exact"/>
        <w:rPr>
          <w:sz w:val="20"/>
          <w:szCs w:val="20"/>
          <w:color w:val="auto"/>
        </w:rPr>
      </w:pPr>
    </w:p>
    <w:tbl>
      <w:tblPr>
        <w:tblLayout w:type="fixed"/>
        <w:tblInd w:w="7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1"/>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3,401,882</w:t>
            </w:r>
          </w:p>
        </w:tc>
        <w:tc>
          <w:tcPr>
            <w:tcW w:w="1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(2,764,626)</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637,256</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6,347,000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(1,057,833)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5,289,167</w:t>
            </w:r>
          </w:p>
        </w:tc>
      </w:tr>
      <w:tr>
        <w:trPr>
          <w:trHeight w:val="209"/>
        </w:trPr>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9,748,882</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(3,822,459)</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5,926,423</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-162560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As of August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-116840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tbl>
      <w:tblPr>
        <w:tblLayout w:type="fixed"/>
        <w:tblInd w:w="7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1"/>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3,339,717</w:t>
            </w:r>
          </w:p>
        </w:tc>
        <w:tc>
          <w:tcPr>
            <w:tcW w:w="1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(2,680,965)</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658,752</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6,347,000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(846,267)</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5,500,733</w:t>
            </w:r>
          </w:p>
        </w:tc>
      </w:tr>
      <w:tr>
        <w:trPr>
          <w:trHeight w:val="209"/>
        </w:trPr>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9,686,717</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(3,527,232)</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6,159,485</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-445135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-161925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60" w:space="720"/>
            <w:col w:w="5660"/>
          </w:cols>
          <w:pgMar w:left="320" w:top="819" w:right="339" w:bottom="1440" w:gutter="0" w:footer="0" w:header="0"/>
          <w:type w:val="continuous"/>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$147,571 and $295,226 for the three and six months ended February 29, 2024, respectively, compared to $147,062 and $294,873 for the three and six months ended February 28,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29, 2024, future amortization expense related to intangible assets for each of the next five fiscal years and thereafter is estimated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2024</w:t>
            </w:r>
          </w:p>
        </w:tc>
        <w:tc>
          <w:tcPr>
            <w:tcW w:w="2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409,890</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2025</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543,721</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2026</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517,990</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2027</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492,221</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2028</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479,012</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3,483,589</w:t>
            </w:r>
          </w:p>
        </w:tc>
      </w:tr>
      <w:tr>
        <w:trPr>
          <w:trHeight w:val="249"/>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5,926,423</w:t>
            </w:r>
          </w:p>
        </w:tc>
      </w:tr>
    </w:tbl>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 in Germany, Excor Korrosionsschutz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Technologien und Produkte GmbH (EXCOR), and all the Company’s other joint ventures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As of February 29, 2024</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56,241,025</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26,949,248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29,291,777</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60,974,536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29,383,315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31,591,221</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2,933,713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10,335,342</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399,445</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47,306,036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26,449,601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20,856,435</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23,460,869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13,224,802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10,236,067</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23,645,685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14,260,800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9,384,885</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 February 29, 2024</w:t>
            </w:r>
          </w:p>
        </w:tc>
      </w:tr>
      <w:tr>
        <w:trPr>
          <w:trHeight w:val="210"/>
        </w:trPr>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23,479,980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9,163,636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14,316,344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10,139,080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4,829,931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5,309,149</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2,353,152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1,378,844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974,308</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1,177,990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690,882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487,109</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2,020,147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1,624,950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395,197</w:t>
            </w: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7"/>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Six Months Ended February 29, 2024</w:t>
            </w:r>
          </w:p>
        </w:tc>
      </w:tr>
      <w:tr>
        <w:trPr>
          <w:trHeight w:val="210"/>
        </w:trPr>
        <w:tc>
          <w:tcPr>
            <w:tcW w:w="4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47,040,641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17,584,596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29,456,045</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20,242,880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9,205,006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11,037,874</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4,557,634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2,405,751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2,151,883</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2,280,231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1,204,335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1,075,896</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2,391,251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1,624,950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766,301</w:t>
            </w:r>
          </w:p>
        </w:tc>
      </w:tr>
      <w:tr>
        <w:trPr>
          <w:trHeight w:val="432"/>
        </w:trPr>
        <w:tc>
          <w:tcPr>
            <w:tcW w:w="4720" w:type="dxa"/>
            <w:vAlign w:val="bottom"/>
          </w:tcPr>
          <w:p>
            <w:pPr>
              <w:spacing w:after="0"/>
              <w:rPr>
                <w:sz w:val="24"/>
                <w:szCs w:val="24"/>
                <w:color w:val="auto"/>
              </w:rPr>
            </w:pPr>
          </w:p>
        </w:tc>
        <w:tc>
          <w:tcPr>
            <w:tcW w:w="16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47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August 31, 2023</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0"/>
        </w:trPr>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55,339,662</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27,862,458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27,477,204</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59,729,348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30,054,277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29,675,071</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11,464,247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2,687,064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8777,183</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323,762</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47,941,339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27,367,213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20,574,126</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23,705,714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13,683,608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10,022,106</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20,493,861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12,075,524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8,418,337</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 February 28, 2023</w:t>
            </w:r>
          </w:p>
        </w:tc>
      </w:tr>
      <w:tr>
        <w:trPr>
          <w:trHeight w:val="209"/>
        </w:trPr>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25,482,590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9,708,482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15,774,108</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10,035,811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4,733,435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5,302,376</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1,969,046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1,365,170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603,876</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1,128,731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676,800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451,931</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422,048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422,048</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Six Months Ended February 28, 2023</w:t>
            </w:r>
          </w:p>
        </w:tc>
      </w:tr>
      <w:tr>
        <w:trPr>
          <w:trHeight w:val="210"/>
        </w:trPr>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50,212,879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19,854,403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30,358,476</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19,729,379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9,453,477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10,275,902</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4,615,954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3,107,457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1,508,497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2,318,135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1,547,944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770,191</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3,464,736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2,459,500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1,005,236</w:t>
            </w:r>
          </w:p>
        </w:tc>
      </w:tr>
    </w:tbl>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6, 2023, the Company entered into a Credit Agreement (the Credit Agreement) with JPMorgan Chase Bank, N.A. (JPM), which provides the Company with a senior secured revolving line of credit (the Credit Facility) of up to $10.0 million, which includes a $5.0 million sublimit for standby letters of credit. Borrowings of $1,192,645 and $3,600,000 were outstanding under the Credit Facility as of February 29, 2024 and August 31, 2023,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terminated earlier, the principal amount under the Credit Facility, together with all accrued unpaid interest and other amounts owing thereunder, if any, will be payable in full on the maturity date. On January 5, 2024, the Company and JPM renewed its Credit Agreement to extend the maturity date of the Credit Facility from January 6, 2024 to January 6, 2025. All other terms of the Credit Facility and the Credit Agreement remain the same.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at the option of the Company,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the Company) plus 0.10% per annum. With respect to any borrowings using an Adjusted SOFR Rate, there is an applicable margin of 2.15% applied per annum. There is no applicable margin with respect to borrowings using a CB Floating Rate.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JPM a continuing security interest in all of its right, title and interested in collateral made up for the assets of the Company.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the Company’s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the Company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Company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 The Company was in compliance with all covenants as of February 29, 2024.</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each of April 10, 2023 and May 30, 2023, the Company’s wholly-owned subsidiary in China, NTIC China, entered into a loan agreement with China Construction Bank Corporation. Each term loan provided NTIC China with a RMB 10,000,000 (USD $1.45 million). Each of the term loans matures after one year with the principal due at that time, after which an extension of the loan agreement is required. Both term loans have an annual interest rate of 3.25% with interest due monthly. Both term loans are secured by an office building owned by NTIC China and the loan agreements contain certain financial and other covenants. The Company was in compliance with the covenants as of February 29, 2024. The current outstanding balance for both term loans was USD $2,782,686 as of February 29, 2024 and USD $2,757,176 as of August 31, 2023.</w:t>
      </w:r>
    </w:p>
    <w:p>
      <w:pPr>
        <w:spacing w:after="0" w:line="200" w:lineRule="exact"/>
        <w:rPr>
          <w:sz w:val="20"/>
          <w:szCs w:val="20"/>
          <w:color w:val="auto"/>
        </w:rPr>
      </w:pPr>
    </w:p>
    <w:p>
      <w:pPr>
        <w:spacing w:after="0" w:line="226" w:lineRule="exact"/>
        <w:rPr>
          <w:sz w:val="20"/>
          <w:szCs w:val="20"/>
          <w:color w:val="auto"/>
        </w:rPr>
      </w:pPr>
    </w:p>
    <w:p>
      <w:pPr>
        <w:ind w:left="540" w:hanging="532"/>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29, 2024, the Company’s Board of Directors declared cash dividends on the following dates in the following amounts to the following holders of the Company’s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09"/>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18, 2023</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1, 2023</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15, 2023</w:t>
            </w:r>
          </w:p>
        </w:tc>
      </w:tr>
      <w:tr>
        <w:trPr>
          <w:trHeight w:val="23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2024</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31, 2024</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28, 2023, the Company’s Board of Directors declared cash dividends on the following dates in the following amounts to the following holders of the Company’s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20, 2022</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16, 2022</w:t>
            </w:r>
          </w:p>
        </w:tc>
      </w:tr>
      <w:tr>
        <w:trPr>
          <w:trHeight w:val="23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 2023</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 2023</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February 29, 2024 and February 28, 2023, the Company repurchased no shares of its 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issued 3,496 and 3,620 shares of common stock on September 1, 2023 and 2022, respectively, under the Northern Technologies International Corporation Employee Stock Purchase Plan (ESPP). The ESPP is compensatory for financial reporting purposes. As of February 29, 2024, 58,538 shares of common stock remained available for sale under the ESPP.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left="540" w:hanging="532"/>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per share computation for the three and six months ended February 29, 2024 and February 28,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9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1,701,169</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411,497</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2,596,690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913,739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9,427,598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9,366,357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9,427,588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9,353,989</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296,073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381,104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287,533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391,177</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9,723,671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9,747,461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9,715,121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9,745,166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0.17</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0.27</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r>
    </w:tbl>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market method when computing the diluted net income per share. Excluded from the computation of diluted net income per share for the three and six months ended February 29, 2024 were options outstanding to purchase 580,869 shares of common stock. Excluded from the computation of diluted net income per share for the three and six months ended February 28, 2023, were options outstanding to purchase 305,514 shares of common stock.</w:t>
      </w:r>
    </w:p>
    <w:p>
      <w:pPr>
        <w:spacing w:after="0" w:line="200" w:lineRule="exact"/>
        <w:rPr>
          <w:sz w:val="20"/>
          <w:szCs w:val="20"/>
          <w:color w:val="auto"/>
        </w:rPr>
      </w:pPr>
    </w:p>
    <w:p>
      <w:pPr>
        <w:spacing w:after="0" w:line="226"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stock option activities under the Northern Technologies International Corporation 2024 Stock Incentive Plan (the 2024 Plan), the Northern Technologies International Corporation Amended and Restated 2019 Stock Incentive Plan (the 2019 Plan) and the Northern Technologies International Corporation Amended and Restated 2007 Stock Incentive Plan (the 2007 Plan) is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80" w:type="dxa"/>
            <w:vAlign w:val="bottom"/>
          </w:tcPr>
          <w:p>
            <w:pPr>
              <w:spacing w:after="0"/>
              <w:rPr>
                <w:sz w:val="18"/>
                <w:szCs w:val="18"/>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5680" w:type="dxa"/>
            <w:vAlign w:val="bottom"/>
          </w:tcPr>
          <w:p>
            <w:pPr>
              <w:spacing w:after="0"/>
              <w:rPr>
                <w:sz w:val="20"/>
                <w:szCs w:val="20"/>
                <w:color w:val="auto"/>
              </w:rPr>
            </w:pPr>
          </w:p>
        </w:tc>
        <w:tc>
          <w:tcPr>
            <w:tcW w:w="16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August 31, 2023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1,557,131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February 29, 2024</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the six months ended February 29, 2024 and February 28, 2023 was $5.04 and $4.75, respectively. The weighted average remaining contractual life of the options outstanding as of February 29, 2024 and February 28, 2023 was 6.31 years and 6.42 years,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compensation expense of $694,874 and $667,008 during the six months ended February 29, 2024 and February 28, 2023, respectively. As of February 29, 2024, there was $1,693,930 of unrecognized compensation expense. The amount is expected to be recognized over a period of 2.5 years.</w:t>
      </w:r>
    </w:p>
    <w:p>
      <w:pPr>
        <w:spacing w:after="0" w:line="200" w:lineRule="exact"/>
        <w:rPr>
          <w:sz w:val="20"/>
          <w:szCs w:val="20"/>
          <w:color w:val="auto"/>
        </w:rPr>
      </w:pPr>
    </w:p>
    <w:p>
      <w:pPr>
        <w:spacing w:after="0" w:line="215" w:lineRule="exact"/>
        <w:rPr>
          <w:sz w:val="20"/>
          <w:szCs w:val="20"/>
          <w:color w:val="auto"/>
        </w:rPr>
      </w:pPr>
    </w:p>
    <w:p>
      <w:pPr>
        <w:ind w:left="620" w:hanging="612"/>
        <w:spacing w:after="0"/>
        <w:tabs>
          <w:tab w:leader="none" w:pos="6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almost 50 years and, more recently, has targeted and expanded into the oil and gas industry. The Company also sells a portfolio of bio-based and compostable (fully biodegradable) polymer resins and finished products under the Natur-Tec® brand.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net sales for the three and six months ended February 29, 2024 and February 28, 2023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980" w:type="dxa"/>
            <w:vAlign w:val="bottom"/>
          </w:tcPr>
          <w:p>
            <w:pPr>
              <w:spacing w:after="0"/>
              <w:rPr>
                <w:sz w:val="16"/>
                <w:szCs w:val="16"/>
                <w:color w:val="auto"/>
              </w:rPr>
            </w:pPr>
          </w:p>
        </w:tc>
        <w:tc>
          <w:tcPr>
            <w:tcW w:w="126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15,218,095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14,458,747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30,623,840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29,828,748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Natur-Tec® net sales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5,624,443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3,812,078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10,400,373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8,394,843</w:t>
            </w: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20,842,538</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18,270,825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41,024,213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38,223,591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for the three and six months ended February 29, 2024 and February 28, 2023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87"/>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5"/>
              </w:rPr>
              <w:t>February</w:t>
            </w:r>
          </w:p>
        </w:tc>
        <w:tc>
          <w:tcPr>
            <w:tcW w:w="120" w:type="dxa"/>
            <w:vAlign w:val="bottom"/>
          </w:tcPr>
          <w:p>
            <w:pPr>
              <w:spacing w:after="0"/>
              <w:rPr>
                <w:sz w:val="18"/>
                <w:szCs w:val="18"/>
                <w:color w:val="auto"/>
              </w:rPr>
            </w:pPr>
          </w:p>
        </w:tc>
        <w:tc>
          <w:tcPr>
            <w:tcW w:w="124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5"/>
              </w:rPr>
              <w:t>February</w:t>
            </w:r>
          </w:p>
        </w:tc>
        <w:tc>
          <w:tcPr>
            <w:tcW w:w="12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0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0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Product</w:t>
            </w:r>
          </w:p>
        </w:tc>
      </w:tr>
      <w:tr>
        <w:trPr>
          <w:trHeight w:val="238"/>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29, 2024</w:t>
            </w:r>
          </w:p>
        </w:tc>
        <w:tc>
          <w:tcPr>
            <w:tcW w:w="120" w:type="dxa"/>
            <w:vAlign w:val="bottom"/>
          </w:tcPr>
          <w:p>
            <w:pPr>
              <w:spacing w:after="0"/>
              <w:rPr>
                <w:sz w:val="20"/>
                <w:szCs w:val="20"/>
                <w:color w:val="auto"/>
              </w:rPr>
            </w:pPr>
          </w:p>
        </w:tc>
        <w:tc>
          <w:tcPr>
            <w:tcW w:w="124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28, 2023</w:t>
            </w:r>
          </w:p>
        </w:tc>
        <w:tc>
          <w:tcPr>
            <w:tcW w:w="12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29, 2024</w:t>
            </w: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28, 2023</w:t>
            </w: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r>
      <w:tr>
        <w:trPr>
          <w:trHeight w:val="21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goods sold</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ZERUST®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8,082,163</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8,115,451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$16,826,187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$17,294,705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Natur-Tec®</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3,568,719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2,931,036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6,797,302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6,501,709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852,492</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921,270</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1,727,286</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1,770,985</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cost of goods sold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12,503,374</w:t>
            </w:r>
          </w:p>
        </w:tc>
        <w:tc>
          <w:tcPr>
            <w:tcW w:w="1260" w:type="dxa"/>
            <w:vAlign w:val="bottom"/>
            <w:tcBorders>
              <w:bottom w:val="single" w:sz="8" w:color="CCEEFF"/>
            </w:tcBorders>
            <w:gridSpan w:val="3"/>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11,967,757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25,350,775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25,567,399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340" w:right="280" w:hanging="332"/>
        <w:spacing w:after="0" w:line="282" w:lineRule="auto"/>
        <w:tabs>
          <w:tab w:leader="none" w:pos="5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segment sales is calculated by dividing the direct cost of goods sold for each individual segment category by the net sales for each segment category.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for the three and six months ended February 29, 2024 and February 28,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980" w:type="dxa"/>
            <w:vAlign w:val="bottom"/>
          </w:tcPr>
          <w:p>
            <w:pPr>
              <w:spacing w:after="0"/>
              <w:rPr>
                <w:sz w:val="16"/>
                <w:szCs w:val="16"/>
                <w:color w:val="auto"/>
              </w:rPr>
            </w:pPr>
          </w:p>
        </w:tc>
        <w:tc>
          <w:tcPr>
            <w:tcW w:w="126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U.S.A. to unaffiliated customers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6,840,855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6,750,997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14,073,236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14,229,158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U.S.A. to:</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Joint ventures in which the Company is a shareholder directly and indirectly</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611,926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1,529,763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1,463,377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2,163,228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Unaffiliated customers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13,389,757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9,990,065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25,487,600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21,831,205</w:t>
            </w: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20,842,538</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18,270,825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41,024,213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38,223,591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the three and six months ended February 29, 2024 and February 28, 2023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3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r>
      <w:tr>
        <w:trPr>
          <w:trHeight w:val="238"/>
        </w:trPr>
        <w:tc>
          <w:tcPr>
            <w:tcW w:w="3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2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217,786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199,927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206,740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202,964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195,176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118,938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111,995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153,795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102,984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112,615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90,264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91,601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84,789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63,381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65,803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79,095</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58,834</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8"/>
        </w:trPr>
        <w:tc>
          <w:tcPr>
            <w:tcW w:w="3380" w:type="dxa"/>
            <w:vAlign w:val="bottom"/>
          </w:tcPr>
          <w:p>
            <w:pPr>
              <w:spacing w:after="0"/>
              <w:rPr>
                <w:sz w:val="19"/>
                <w:szCs w:val="19"/>
                <w:color w:val="auto"/>
              </w:rPr>
            </w:pPr>
          </w:p>
        </w:tc>
        <w:tc>
          <w:tcPr>
            <w:tcW w:w="2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1,303,059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1,252,746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14"/>
        </w:trPr>
        <w:tc>
          <w:tcPr>
            <w:tcW w:w="3380" w:type="dxa"/>
            <w:vAlign w:val="bottom"/>
          </w:tcPr>
          <w:p>
            <w:pPr>
              <w:spacing w:after="0"/>
              <w:rPr>
                <w:sz w:val="24"/>
                <w:szCs w:val="24"/>
                <w:color w:val="auto"/>
              </w:rPr>
            </w:pP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2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415,803</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386,623</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412,383</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396,792</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317,142</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228,295</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248,076</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301,715</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213,520</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213,051</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199,492</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182,052</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169,702</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174,557</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162,601</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171,333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138,338</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129,197</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118,251</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123,339</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156,709</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127,597</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8"/>
        </w:trPr>
        <w:tc>
          <w:tcPr>
            <w:tcW w:w="4080" w:type="dxa"/>
            <w:vAlign w:val="bottom"/>
          </w:tcPr>
          <w:p>
            <w:pPr>
              <w:spacing w:after="0"/>
              <w:rPr>
                <w:sz w:val="19"/>
                <w:szCs w:val="19"/>
                <w:color w:val="auto"/>
              </w:rPr>
            </w:pPr>
          </w:p>
        </w:tc>
        <w:tc>
          <w:tcPr>
            <w:tcW w:w="2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2,552,017</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2,434,551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414"/>
        </w:trPr>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geographical distribution of total property and equipment and net sales is as follows: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4"/>
              </w:rPr>
              <w:t>At</w:t>
            </w: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29, 2024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August 31, 2023</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5,680,609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5,729,080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804,148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745,469</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8,478,429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7,590,805</w:t>
            </w:r>
          </w:p>
        </w:tc>
        <w:tc>
          <w:tcPr>
            <w:tcW w:w="0" w:type="dxa"/>
            <w:vAlign w:val="bottom"/>
          </w:tcPr>
          <w:p>
            <w:pPr>
              <w:spacing w:after="0"/>
              <w:rPr>
                <w:sz w:val="1"/>
                <w:szCs w:val="1"/>
                <w:color w:val="auto"/>
              </w:rPr>
            </w:pPr>
          </w:p>
        </w:tc>
      </w:tr>
      <w:tr>
        <w:trPr>
          <w:trHeight w:val="21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14,963,186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14,065,354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29, 2024</w:t>
            </w:r>
          </w:p>
        </w:tc>
        <w:tc>
          <w:tcPr>
            <w:tcW w:w="100" w:type="dxa"/>
            <w:vAlign w:val="bottom"/>
          </w:tcPr>
          <w:p>
            <w:pPr>
              <w:spacing w:after="0"/>
              <w:rPr>
                <w:sz w:val="18"/>
                <w:szCs w:val="18"/>
                <w:color w:val="auto"/>
              </w:rPr>
            </w:pPr>
          </w:p>
        </w:tc>
        <w:tc>
          <w:tcPr>
            <w:tcW w:w="156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February 28, 2023</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3,455,846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2,871,795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1,326,867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1,206,790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5,406,404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4,364,358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3,812,566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3,076,885</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6,840,855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6,750,997</w:t>
            </w:r>
          </w:p>
        </w:tc>
        <w:tc>
          <w:tcPr>
            <w:tcW w:w="0" w:type="dxa"/>
            <w:vAlign w:val="bottom"/>
          </w:tcPr>
          <w:p>
            <w:pPr>
              <w:spacing w:after="0"/>
              <w:rPr>
                <w:sz w:val="1"/>
                <w:szCs w:val="1"/>
                <w:color w:val="auto"/>
              </w:rPr>
            </w:pPr>
          </w:p>
        </w:tc>
      </w:tr>
      <w:tr>
        <w:trPr>
          <w:trHeight w:val="209"/>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20,842,538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18,270,825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29, 2024</w:t>
            </w:r>
          </w:p>
        </w:tc>
        <w:tc>
          <w:tcPr>
            <w:tcW w:w="100" w:type="dxa"/>
            <w:vAlign w:val="bottom"/>
          </w:tcPr>
          <w:p>
            <w:pPr>
              <w:spacing w:after="0"/>
              <w:rPr>
                <w:sz w:val="18"/>
                <w:szCs w:val="18"/>
                <w:color w:val="auto"/>
              </w:rPr>
            </w:pPr>
          </w:p>
        </w:tc>
        <w:tc>
          <w:tcPr>
            <w:tcW w:w="1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28, 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7,134,369</w:t>
            </w: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6,618,435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2,856,490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2,574,208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10,586,795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9,211,285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6,373,323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5,590,505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14,073,236</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14,229,158</w:t>
            </w: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41,024,213</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38,223,591</w:t>
            </w:r>
          </w:p>
        </w:tc>
      </w:tr>
      <w:tr>
        <w:trPr>
          <w:trHeight w:val="20"/>
        </w:trPr>
        <w:tc>
          <w:tcPr>
            <w:tcW w:w="80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and equipment. These assets are periodically reviewed to assure the net realizable value from the estimated future production based on forecasted sales exceeds the carrying value of the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primarily related to ZERUST® products and services.</w:t>
      </w:r>
    </w:p>
    <w:p>
      <w:pPr>
        <w:spacing w:after="0" w:line="200" w:lineRule="exact"/>
        <w:rPr>
          <w:sz w:val="20"/>
          <w:szCs w:val="20"/>
          <w:color w:val="auto"/>
        </w:rPr>
      </w:pPr>
    </w:p>
    <w:p>
      <w:pPr>
        <w:spacing w:after="0" w:line="264"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Two joint ventures (consisting of the Company’s joint ventures in Korea and Thailand) accounted for 68.4% of the Company’s trade joint venture receivables as of February 29, 2024, and three joint ventures (consisting of the Company’s joint ventures in South Korea, Sweden, France) accounted for 68.1% of the Company’s trade joint venture receivables as of February 28,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February 29, 2024, the amount of liability, if any, with respect to these matters, individually or in the aggregate, will not materially affect the Company’s consolidated results of operations, financial position or cash flows.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4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260" w:type="dxa"/>
            <w:vAlign w:val="bottom"/>
            <w:gridSpan w:val="2"/>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29,</w:t>
            </w:r>
          </w:p>
        </w:tc>
        <w:tc>
          <w:tcPr>
            <w:tcW w:w="120" w:type="dxa"/>
            <w:vAlign w:val="bottom"/>
          </w:tcPr>
          <w:p>
            <w:pPr>
              <w:spacing w:after="0"/>
              <w:rPr>
                <w:sz w:val="16"/>
                <w:szCs w:val="16"/>
                <w:color w:val="auto"/>
              </w:rPr>
            </w:pPr>
          </w:p>
        </w:tc>
        <w:tc>
          <w:tcPr>
            <w:tcW w:w="124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00" w:type="dxa"/>
            <w:vAlign w:val="bottom"/>
          </w:tcPr>
          <w:p>
            <w:pPr>
              <w:spacing w:after="0"/>
              <w:rPr>
                <w:sz w:val="16"/>
                <w:szCs w:val="16"/>
                <w:color w:val="auto"/>
              </w:rPr>
            </w:pPr>
          </w:p>
        </w:tc>
        <w:tc>
          <w:tcPr>
            <w:tcW w:w="1220" w:type="dxa"/>
            <w:vAlign w:val="bottom"/>
            <w:gridSpan w:val="2"/>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29,</w:t>
            </w:r>
          </w:p>
        </w:tc>
        <w:tc>
          <w:tcPr>
            <w:tcW w:w="100" w:type="dxa"/>
            <w:vAlign w:val="bottom"/>
          </w:tcPr>
          <w:p>
            <w:pPr>
              <w:spacing w:after="0"/>
              <w:rPr>
                <w:sz w:val="16"/>
                <w:szCs w:val="16"/>
                <w:color w:val="auto"/>
              </w:rPr>
            </w:pPr>
          </w:p>
        </w:tc>
        <w:tc>
          <w:tcPr>
            <w:tcW w:w="1220" w:type="dxa"/>
            <w:vAlign w:val="bottom"/>
            <w:gridSpan w:val="2"/>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4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77,758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115,144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188,896</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206,475</w:t>
            </w:r>
          </w:p>
        </w:tc>
      </w:tr>
    </w:tbl>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and six months ended February 29, 2024 was $289,195 and $515,991, respectively, compared to $181,795 and $292,528, respectively, for the three and six months ended February 28, 2023. The expense was largely due to foreign operations. The Company has federal and state tax credit carry forwards, net operating loss carry forwards and foreign tax carry forwards. The Company has recorded a full valuation allowance against the U.S. deferred tax assets as of February 29, 2024 and August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9" w:name="page20"/>
    <w:bookmarkEnd w:id="19"/>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in this report and under “</w:t>
      </w:r>
      <w:r>
        <w:rPr>
          <w:rFonts w:ascii="Times New Roman" w:cs="Times New Roman" w:eastAsia="Times New Roman" w:hAnsi="Times New Roman"/>
          <w:sz w:val="18"/>
          <w:szCs w:val="18"/>
          <w:i w:val="1"/>
          <w:iCs w:val="1"/>
          <w:color w:val="auto"/>
        </w:rPr>
        <w:t>Part 1. Item 1A. Risk Factors</w:t>
      </w:r>
      <w:r>
        <w:rPr>
          <w:rFonts w:ascii="Times New Roman" w:cs="Times New Roman" w:eastAsia="Times New Roman" w:hAnsi="Times New Roman"/>
          <w:sz w:val="18"/>
          <w:szCs w:val="18"/>
          <w:color w:val="auto"/>
        </w:rPr>
        <w:t>” in our annual report on Form 10-K for the fiscal year ended August 31,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discussion of the results of the operations and financial condition of NTIC should be read in conjunction with NTIC’s consolidated financial statements and the related notes thereto included under the heading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almost 50 years and, more recently, has also expanded into the oil and gas industry. Additionally, NTIC markets and sells a portfolio of proprietary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In North America, NTIC sells its ZERUST® corrosion prevention solutions through a network of independent distributors and agents supported by a direct sales force.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Internationally, NTIC sells its ZERUST® corrosion prevention solutions through its wholly-owned subsidiary in China, NTIC (Shanghai) Co., Ltd. (NTIC China), its wholly-owned subsidiary in India, HNTI Limited (Zerust India), its majority-owned joint venture holding company for NTIC’s joint venture investments in the Association of Southeast Asian Nations (ASEAN) region, NTI Asean LLC (NTI Asean), and certain majority-owned and wholly-owned subsidiaries, and joint venture arrangements in North America, Europe, and Asia. NTIC also sells products directly to its European joint venture partners through its wholly-owned subsidiary in Germany, NTIC Europe GmbH (NTI Europe).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 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0" w:name="page21"/>
    <w:bookmarkEnd w:id="20"/>
    <w:p>
      <w:pPr>
        <w:jc w:val="both"/>
        <w:spacing w:after="0" w:line="272" w:lineRule="auto"/>
        <w:rPr>
          <w:sz w:val="20"/>
          <w:szCs w:val="20"/>
          <w:color w:val="auto"/>
        </w:rPr>
      </w:pPr>
      <w:r>
        <w:rPr>
          <w:rFonts w:ascii="Times New Roman" w:cs="Times New Roman" w:eastAsia="Times New Roman" w:hAnsi="Times New Roman"/>
          <w:sz w:val="17"/>
          <w:szCs w:val="17"/>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Internationally, NTIC sells its Natur-Tec® resin compounds and finished products both directly and through its wholly-owned subsidiary in China and majority-owned subsidiaries in India and Sri Lanka, and through distributors and certain joint ventures.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Highlights of NTIC’s financial results for the three and six months ended February 29, 2024 include the following, with increases or decreases in each case as compared to the respective prior fiscal year quarterly period:</w:t>
      </w:r>
    </w:p>
    <w:p>
      <w:pPr>
        <w:spacing w:after="0" w:line="162" w:lineRule="exact"/>
        <w:rPr>
          <w:sz w:val="20"/>
          <w:szCs w:val="20"/>
          <w:color w:val="auto"/>
        </w:rPr>
      </w:pPr>
    </w:p>
    <w:p>
      <w:pPr>
        <w:jc w:val="both"/>
        <w:ind w:left="500" w:hanging="330"/>
        <w:spacing w:after="0" w:line="258"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consolidated net sales increased 14.1% and 7.3% during the three and six months ended February 29, 2024, respectively, compared to the three and six months ended February 28, 2023 primarily as a result of an increase in sales and demand for Natur-Tec® and ZERUST® oil and gas products and stable sales of and demand for ZERUST® industrial products. During the six months ended February 29, 2024, 74.6% of NTIC’s consolidated net sales were derived from sales of ZERUST® products and services and 25.4% of NTIC’s consolidated net sales were derived from sales of Natur-Tec® products.</w:t>
      </w:r>
    </w:p>
    <w:p>
      <w:pPr>
        <w:spacing w:after="0" w:line="183"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as a percentage of net sales decreased to 60.0% during the three months ended February 29, 2024, compared to 65.5% during the three months ended February 28, 2023, and decreased to 61.8% during the six months ended February 29, 2024, compared to 66.9% during the prior fiscal year period primarily as a result of lower raw material prices overall and savings associated with the insourcing of various finished goods production.</w:t>
      </w:r>
    </w:p>
    <w:p>
      <w:pPr>
        <w:spacing w:after="0" w:line="179" w:lineRule="exact"/>
        <w:rPr>
          <w:rFonts w:ascii="Times New Roman" w:cs="Times New Roman" w:eastAsia="Times New Roman" w:hAnsi="Times New Roman"/>
          <w:sz w:val="18"/>
          <w:szCs w:val="18"/>
          <w:color w:val="auto"/>
        </w:rPr>
      </w:pPr>
    </w:p>
    <w:p>
      <w:pPr>
        <w:jc w:val="both"/>
        <w:ind w:left="500" w:hanging="330"/>
        <w:spacing w:after="0" w:line="255"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equity in income from joint ventures increased 4.4% during the three months ended February 29, 2024 to $1,177,990 compared to $1,128,731 was primarily due to efforts to enhance profitability at the Company’s joint ventures, partially offset by lower joint venture sales. NTIC’s equity in income from joint ventures decreased 1.6% during the six months ended February 29, 2024 to $2,280,231 compared to $2,318,135 during the six months ended February 28, 2023 primarily due to a decrease in net income at NTIC’s joint venture in Germany, partially offset by increases at the majority of the other joint ventures. Net sales at the joint ventures decreased 7.9% and 6.3% to $23,479,980 and $47,040,641 during the three and six months ended February 29, 2024, respectively, compared to $25,482,590 and $50,212,879 during the three and six months ended February 28, 2023,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both"/>
        <w:ind w:left="500" w:hanging="330"/>
        <w:spacing w:after="0" w:line="266"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total operating expenses increased 9.4% and 7.3% to $8,613,942 and $16,922,982 during the three and six months ended February 29, 2024, respectively, compared to $7,870,989 and $15,765,746 for the three and six months ended February 28, 2023. These increases were primarily due to increased personnel expenses, including new hires, benefits and travel.</w:t>
      </w:r>
    </w:p>
    <w:p>
      <w:pPr>
        <w:spacing w:after="0" w:line="175"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incurred net income attributable to NTIC of $1,701,169, or $0.17 per diluted common share, for the three months ended February 29, 2024, compared to $411,497, or $0.04 per diluted common share, for the three months ended February 28, 2023. NTIC incurred net income attributable to NTIC of $2,596,690 or $0.27 per diluted common share, for the six months ended February 29, 2024, compared to $913,739 or $0.09 per diluted common share, for the six months ended February 28,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the three and six months ended February 29, 2024 and February 28,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3240" w:type="dxa"/>
            <w:vAlign w:val="bottom"/>
          </w:tcPr>
          <w:p>
            <w:pPr>
              <w:spacing w:after="0"/>
              <w:rPr>
                <w:sz w:val="16"/>
                <w:szCs w:val="16"/>
                <w:color w:val="auto"/>
              </w:rPr>
            </w:pPr>
          </w:p>
        </w:tc>
        <w:tc>
          <w:tcPr>
            <w:tcW w:w="12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2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540" w:type="dxa"/>
            <w:vAlign w:val="bottom"/>
            <w:gridSpan w:val="3"/>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20,842,538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18,270,825</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   $</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2,571,713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12,503,374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11,967,757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535,616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1,177,990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1,128,731</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49,259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1,303,059</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1,252,746</w:t>
            </w:r>
          </w:p>
        </w:tc>
        <w:tc>
          <w:tcPr>
            <w:tcW w:w="120" w:type="dxa"/>
            <w:vAlign w:val="bottom"/>
          </w:tcPr>
          <w:p>
            <w:pPr>
              <w:spacing w:after="0"/>
              <w:rPr>
                <w:sz w:val="18"/>
                <w:szCs w:val="18"/>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50,313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4,134,894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3,595,717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539,177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3,236,792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3,134,189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102,603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1,242,256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1,141,083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101,173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3240" w:type="dxa"/>
            <w:vAlign w:val="bottom"/>
          </w:tcPr>
          <w:p>
            <w:pPr>
              <w:spacing w:after="0"/>
              <w:rPr>
                <w:sz w:val="16"/>
                <w:szCs w:val="16"/>
                <w:color w:val="auto"/>
              </w:rPr>
            </w:pPr>
          </w:p>
        </w:tc>
        <w:tc>
          <w:tcPr>
            <w:tcW w:w="12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2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540" w:type="dxa"/>
            <w:vAlign w:val="bottom"/>
            <w:gridSpan w:val="3"/>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41,024,213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38,223,591</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   $</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2,780,622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25,350,775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25,567,399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(216,624)</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2,280,231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2,318,135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(37,904)</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2,552,017</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2,434,551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117,466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7,820,952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7,103,151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717,801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6,753,853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6,264,788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489,065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2,348,177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2,397,807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(49,630)</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consolidated net sales increased 14.1% and 7.3% to $20,842,538 and $41,024,213 during the three and six months ended February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respectively, compared to the three and six months ended February 28, 2023. These increases were primarily as a result of an increase in sales and demand for Natur-Tec® and ZERUST® oil and gas products and stable sales of and demand for ZERUST® industrial products.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segment for the three and six months ended February 29, 2024 and February 28,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1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ZERUST® sales</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15,218,095</w:t>
            </w:r>
          </w:p>
        </w:tc>
        <w:tc>
          <w:tcPr>
            <w:tcW w:w="4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14,458,747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30,623,840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29,828,748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Natur-Tec® sales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5,624,443</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3,812,078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10,400,373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8,394,843</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20,842,538</w:t>
            </w:r>
          </w:p>
        </w:tc>
        <w:tc>
          <w:tcPr>
            <w:tcW w:w="4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18,270,825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41,024,213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38,223,591</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February 29, 2024, 73.0% and 74.6% of NTIC’s consolidated net sales, respectively, were derived from sales of ZERUST® products and services, which increased 5.3% and 2.7% to $15,218,095 and $30,623,840, respectively, compared to $14,458,747 and $29,828,748 during the three and six months ended February 28, 2023, respectively. These increases were primarily a result of increased demand in North America of both ZERUST® industrial and ZERUST® oil and gas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 products for the three and six months ended February 29, 2024 and February 28,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ind w:left="34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13,050,767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12,653,512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397,255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ZERUST® oil and gas net sales</w:t>
            </w: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2,167,328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1,805,235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362,093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ZERUST®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15,218,095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14,458,747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759,348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ind w:left="34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26,954,198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26,401,616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552,582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ZERUST® oil and gas net sales</w:t>
            </w: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3,669,642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3,427,132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242,510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ZERUST®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30,623,840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29,828,748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795,092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NTIC’s total ZERUST® net sales increased during the three and six months ended February 29, 2024, compared to the prior fiscal year periods, primarily due to increased demand in North American both ZERUST® industrial business and ZERUST® oil and gas business. Overall, demand for ZERUST® products and services depends heavily on the overall health of the markets in which NTIC sells its products, including the automotive, oil and gas, agriculture, and mining markets, in particular.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ZERUST® oil and gas net sales increased 20.1% and 7.1% during the three and six months ended February 29, 2024 compared to the prior fiscal year periods primarily as a result of increased demand in markets in which NTIC sells its products. NTIC anticipates that its sales of ZERUST® products and services to the oil and gas industry will continue to remain subject to significant volatility from quarter to quarter as sales are recognized.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February 29, 2024, 27.0% and 25.4% of NTIC’s consolidated net sales were derived from sales of Natur-Tec® products, compared to 20.9% and 22.0% during the three and six months ended February 28, 2023, respectively. Sales of Natur-Tec® products increased 47.5% and 23.9% to $5,624,443 and $10,400,373 during the three and six months ended February 29, 2024, respectively, compared $3,812,078 and $8,394,843 during the three and six months ended February 28, 2023 as a result of increased global demand. The demand for Natur-Tec® products in most markets has returned to pre-pandemic levels; however, there are lingering effects of COVID-19 in the apparel industry, as well as corporate office complexes.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increased 4.5% and decreased 0.8% for the three and six months ended February 29, 2024, respectively,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three and six months ended February 28, 2023 primarily as a result of lower raw material prices overall. Cost of goods sold as a percentage of net sales decreased to 60.0% and 61.8% for the three and six months ended February 29, 2024, respectively, compared to 65.5% and 66.9% for the three and six months ended February 28, 2028, respectively, primarily as a result of these lower raw material prices and the insourcing of various production of products. NTIC has taken certain actions to address inflationary pressures and pass on related cost increases to its customers and some improvements from these actions, as well as improvements in gross margin, were realized during the six months ended February 29, 2024.</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Equity in Income from Joint Ventures. </w:t>
      </w:r>
      <w:r>
        <w:rPr>
          <w:rFonts w:ascii="Times New Roman" w:cs="Times New Roman" w:eastAsia="Times New Roman" w:hAnsi="Times New Roman"/>
          <w:sz w:val="18"/>
          <w:szCs w:val="18"/>
          <w:color w:val="auto"/>
        </w:rPr>
        <w:t>NTIC’s equity in income from joint ventures increased 4.4% during the three months ended February 29,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$1,177,990 compared to $1,128,731 was to primarily due to efforts to enhance profitability at the Company’s joint ventures, partially offset by lower joint venture sales. NTIC’s equity in income from joint ventures decreased 1.6% during the six months ended February 29, 2024 to $2,280,231 compared to $2,318,135 during the six months ended February 28, 2023 primarily due to a decrease in net income at NTIC’s joint venture in Germany, partially offset by increases at the majority of the other joint ventures. NTIC’s equity in income from joint ventures fluctuates based on net sales and profitability of the joint ventures during the respective periods. Of the total equity in income from joint ventures, NTIC had equity in income from joint ventures of $1,204,335 attributable to EXCOR during the six months ended February 29, 2024, compared to $1,547,944 attributable to EXCOR during the six months ended February 28, 2023. These decreases were primarily a result of a decrease in net sales by EXCOR compared to the same prior year fiscal periods, due primarily to the loss of a customer and softer demand within the region related to higher energy prices and other externalities linked to the war between Ukraine and Russia. NTIC had equity in income from all other joint ventures of $1,075,896 during the six months ended February 29, 2024, compared to $770,191 during the six months ended February 28, 2023.</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Fees for Services Provided to Joint Ventures</w:t>
      </w:r>
      <w:r>
        <w:rPr>
          <w:rFonts w:ascii="Times New Roman" w:cs="Times New Roman" w:eastAsia="Times New Roman" w:hAnsi="Times New Roman"/>
          <w:sz w:val="18"/>
          <w:szCs w:val="18"/>
          <w:color w:val="auto"/>
        </w:rPr>
        <w:t>. NTIC recognized fee income for services provided to joint ventures of $1,303,059 and $2,552,017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six months ended February 29, 2024, respectively, compared to $1,252,746 and $2,434,551 during the three and six months ended February 28, 2023, respectively, representing increases of 4.0% and 4.8%, respectively. Fee income for services provided to joint ventures is traditionally a function of the sales made by NTIC’s joint ventures; however, at various joint ventures, the fee income for services is a fixed amount that does not fluctuate with the change in sales that was experienced by certain joint ventures during the three and six months ended February 29, 2024. Total net sales of NTIC’s joint ventures decreased 7.9% and 6.3% to $23,479,980 and $47,040,641 during the three and six months ended February 29, 2024, respectively, compared to $25,482,590 and $50,212,879 during the three and six months ended February 28, 2023, respectively. These decreases were primarily a result of decreased demand during the three and six months ended February 29, 2024 at NTIC’s joint venture in Germany due primarily to the loss of a customer and softer demand within the region, as described above. Net sales of NTIC’s joint ventures are not included in NTIC’s product sales and are not included in NTIC’s consolidated financial statements. Of the total fee income for services provided to joint ventures, fees of $412,383 were attributable to EXCOR during the six months ended February 29, 2024, compared to $396,792 attributable to EXCOR during the six months ended February 28, 2023.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15.0% and 10.1% for the three and six months ended February 29, 2024, respectively,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respective periods in fiscal 2023 due primarily to an increase in personnel expense during the current fiscal year period compared to the same prior fiscal year periods. Selling expenses as a percentage of net sales increased to 19.7% and 19.1% for the three and six months ended February 29, 2024, respectively, from 19.7% and 18.6% for the three and six months ended February 28, 2023, respectively, primarily due to the increased selling expenses as noted above.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3.3% and 7.8% for the three and six months ended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2024, respectively, compared to the same respective periods in fiscal 2023 primarily due to increased professional services and travel and personnel expenses during the current fiscal year periods compared to the same prior fiscal year periods. As a percentage of net sales, general and administrative expenses decreased to 15.5% and increased to 16.5% for the three and six months ended February 29, 2024, respectively, from 17.2% and 16.4% for the same respective periods in fiscal 2023 primarily due to the changes in general and administrative expenses, as noted above.</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increased 8.9% and decreased 2.1%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2023, respectively, compared to the same respective periods in fiscal 2023 primarily due to the timing of expenses incurred and changes in expenses associated with development efforts.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increased to $29,210 and $75,652 during the three and six months ended February 29, 2024,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$3,451 and $9,619 during the three and six months ended February 28, 2023, respectively, due primarily to changes in the invested cash balances at subsidiaries.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decreased to $77,758 and $188,896 during the three and six months ended February 29, 2024,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$115,144 and $206,475 during the three and six months ended February 28, 2023, respectively, due primarily to decreased borrowings during the current fiscal year periods.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had income before income tax expense of $2,157,723 and $3,469,460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29, 2024, respectively, compared to $701,863 and $1,446,276 for the three and six months ended February 28, 2023, respectively.</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$289,195 and $515,991 for the three and six months ended February 29, 2024, respectively,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$181,795 and $292,528 during the three and six months ended February 28, 2023, respectively. Income tax expense was calculated based on management’s estimate of NTIC’s annual effective income tax rate.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$23,645,685 and $20,493,861 as of February 29, 2024, and August 31, 2023, respectively. To the extent undistributed earnings of NTIC’s joint ventures are distributed in the future, they are not expected to result in any material additional income tax liability after the application of foreign tax credits.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Net Income Attributable to NTIC</w:t>
      </w:r>
      <w:r>
        <w:rPr>
          <w:rFonts w:ascii="Times New Roman" w:cs="Times New Roman" w:eastAsia="Times New Roman" w:hAnsi="Times New Roman"/>
          <w:sz w:val="18"/>
          <w:szCs w:val="18"/>
          <w:color w:val="auto"/>
        </w:rPr>
        <w:t>. Net income attributable to NTIC increased to $1,868,528, or $0.17 per diluted common share,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29, 2024, compared to $411,497, or $0.04 per diluted common share, for the three months ended February 28, 2023. Net income attributable to NTIC increased to $2,596,90, or $0.27 per diluted common share, for the six months ended February 29, 2024, compared to $913,739, or $0.09 per diluted common share, for the six months ended February 28, 2023. These increases were primarily due to the increase in gross profit, partially offset by the increase in operating expenses.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NTIC anticipates that its earnings will continue to be adversely affected to some extent by inflation and worldwide supply chain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Translations Adjustment. </w:t>
      </w:r>
      <w:r>
        <w:rPr>
          <w:rFonts w:ascii="Times New Roman" w:cs="Times New Roman" w:eastAsia="Times New Roman" w:hAnsi="Times New Roman"/>
          <w:sz w:val="18"/>
          <w:szCs w:val="18"/>
          <w:color w:val="auto"/>
        </w:rPr>
        <w:t>The changes in the foreign currency translations adjustment were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of the U.S. dollar compared to the Euro and other foreign currencies during the three and six months ended February 29, 2024 compared to the same respective periods in fiscal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NTIC’s working capital, defined as current assets less current liabilities, was $23,975,459 as of February 29,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$4,835,031 in cash and cash equivalents, compared to $22,950,184 as of August 31, 2023, including $5,406,173 in cash and cash equivalents.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2024, NTIC expects to continue to invest through its use of working capital in Zerust India, NTIC China,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NTIC also expects to use some of its capital resources to continue to transition some of its joint ventures as needed or appropriate, which may include additional acquisitions by NTIC of the remaining ownership interests of joint ventures not owned by NTIC, the formation of one or more new subsidiaries to assume the operations of a joint venture, and dissolutions or liquidations of one or more of its joint ventures. Some of these joint venture transitions may materially impact NTIC’s results of operations for a particular reporting period. For example, the formation of a new indirect, majority owned subsidiary of NTIC to assume the operations of a former joint venture increased NTIC’s operating expenses during the six months ended February 29,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take advantage of new product and market opportunities to expand its business and increase its revenues and assist with joint venture transitions, NTIC may decide to finance such opportunities by additional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Agreement with JPMorgan Chase Bank, N.A. </w:t>
      </w:r>
      <w:r>
        <w:rPr>
          <w:rFonts w:ascii="Times New Roman" w:cs="Times New Roman" w:eastAsia="Times New Roman" w:hAnsi="Times New Roman"/>
          <w:sz w:val="18"/>
          <w:szCs w:val="18"/>
          <w:color w:val="auto"/>
        </w:rPr>
        <w:t>On January 6, 2023, NTIC entered into a Credit Agreement (the Credit Agreement) with JPMorgan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Chase Bank, N.A. (JPM), which provides NTIC with a senior secured revolving line of credit (the Credit Facility) of up to $10.0 million, which includes a $5.0 million sublimit for standby letters of credit. Borrowings of $1,192,645 and $3,600,000 were outstanding under the Credit Facility as of February 29, 2024 and August 31, 2023, respectively.</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terminated earlier, the principal amount under the Credit Facility, together with all accrued unpaid interest and other amounts owing thereunder, if any, will be payable in full on the maturity date. On January 5, 2024, the Company and JPM renewed its Credit Agreement to extend the maturity date of the Credit Facility from January 6, 2024 to January 6, 2025. All other terms of the Credit Facility and the Credit Agreement remain the same. It is anticipated that the Credit Facility will be renewed each year for one additional year for the immediate foreseeable future.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2.15% applied per annum. There is no applicable margin with respect to borrowings using a CB Floating Rate.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JPM a continuing security interest in all of its right, title and interested in collateral made up for the assets of the Company.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 As of February 29, 2024, NTIC was in compliance with all debt covenants under the Credit Agreement.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Other Credit Arrangements</w:t>
      </w:r>
      <w:r>
        <w:rPr>
          <w:rFonts w:ascii="Times New Roman" w:cs="Times New Roman" w:eastAsia="Times New Roman" w:hAnsi="Times New Roman"/>
          <w:sz w:val="18"/>
          <w:szCs w:val="18"/>
          <w:color w:val="auto"/>
        </w:rPr>
        <w:t>. On each of April 10, 2023 and May 30, 2023, the Company’s wholly-owned subsidiary in China, NTIC China,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agreement with China Construction Bank Corporation. Each term loan provided NTIC China with a RMB 10,000,000 (USD $1.45 million). Each of the term loans matures after one year with the principal due at that time, after which an extension of the loan agreement is required. Both term loans have an annual interest rate of 3.25% with interest due monthly. Both term loans are secured by an office building owned by NTIC China and the loan agreements contain certain financial and other covenants. NTIC was in compliance with the covenants as of February 29, 2024. The current outstanding balance for both term loans was USD $2,782,686 as of February 29, 2024 and USD $2,757,176 as of August 31, 2023.</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Uses of Cash and Cash Flow</w:t>
      </w:r>
      <w:r>
        <w:rPr>
          <w:rFonts w:ascii="Times New Roman" w:cs="Times New Roman" w:eastAsia="Times New Roman" w:hAnsi="Times New Roman"/>
          <w:sz w:val="18"/>
          <w:szCs w:val="18"/>
          <w:color w:val="auto"/>
        </w:rPr>
        <w:t>. Net cash provided by operating activities during the six months ended February 29, 2024 was $5,643,007, which resulted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from NTIC’s net income, dividends received from joint ventures, dividend receivables from joint ventures, depreciation and amortization expense, and stock-based compensation, partially offset by equity in income from joint ventures. Net cash provided by operating activities during the six months ended February 28, 2023 was $2,204,834, which resulted principally from NTIC’s net income, dividends received from joint ventures, depreciation and amortization expense, and stock-based compensation, partially offset by equity in income from joint ventures.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NTIC experienced a decrease in trade receivables and a decrease in inventory as of February 29, 2024, compared to August 31, 2023. Trade receivables, excluding joint ventures, as of February 29, 2024, decreased $844,538 compared to August 31, 2023, primarily related to the timing of collections and increases in sales.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trade receivables, excluding joint ventures balances, decreased an average of 5 days to an average of 66 days from balances outstanding from these customers as of February 29, 2024 from an average of 71 days as of August 31,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Outstanding trade receivables from joint ventures as of February 29, 2024 increased $704,017 compared to August 31, 2023, primarily due to the timing of payments and orders. Outstanding balances from trade receivables from joint ventures increased an average of 97 days to an average of 131 days from balances outstanding from these customers as of February 29, 2024 from an average of 34 days as of August 31, 2023. The average days outstanding of trade receivables from joint ventures as of February 29, 2024 were primarily due to the receivables balances at Thailand and South Korea.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February 29, 2024 decreased $68,883 compared to August 31, 2023, and the average days to pay decreased an average of 1 days to an average of 85 days from an average of 86 days as of August 31,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February 29, 2024 and February 28, 2023 was $1,505,927 and $1,923,336, respectively, which was primarily the result of the purchases of property and equipment, and investments in patents.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used in financing activities for the six months ended February 29, 2024 was $4,762,201, which resulted from dividends paid to shareholders, the repayment of borrowings under the line of credit, and dividends received by non-controlling interests, partially offset by proceeds from NTIC’s employee stock purchase plan. Net cash used in financing activities for the six months ended February 28, 2023 was $111,605, which resulted from dividends paid to shareholders and dividends received by non-controlling interests, partially offset by proceeds from the exercise of stock options, borrowings under the line of credit and proceeds from NTIC’s employee stock purchase plan.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Share Repurchase Plan</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No repurchases occurred during the six months ended February 29, 2024. As of February 29, 2024, up to $2,640,548 in shares of NTIC common stock remained available for repurchase under NTIC’s stock repurchase program.</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Cash Dividends</w:t>
      </w:r>
      <w:r>
        <w:rPr>
          <w:rFonts w:ascii="Times New Roman" w:cs="Times New Roman" w:eastAsia="Times New Roman" w:hAnsi="Times New Roman"/>
          <w:sz w:val="18"/>
          <w:szCs w:val="18"/>
          <w:color w:val="auto"/>
        </w:rPr>
        <w:t>. During the six months ended February 29, 2024, NTIC’s Board of Directors declared cash dividends on the following dates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amounts to the following holders of NTIC’s common stock:</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18, 2023</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1, 2023</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15, 2023</w:t>
            </w:r>
          </w:p>
        </w:tc>
      </w:tr>
      <w:tr>
        <w:trPr>
          <w:trHeight w:val="23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2024</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31, 2024</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bl>
    <w:p>
      <w:pPr>
        <w:spacing w:after="0" w:line="1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28, 2023, NTIC’s Board of Directors declared cash dividends on the following dates in the following amounts to the following holders of NTIC’s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20, 2022</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0.07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16, 2022</w:t>
            </w:r>
          </w:p>
        </w:tc>
      </w:tr>
      <w:tr>
        <w:trPr>
          <w:trHeight w:val="23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 2023</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0.07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 2023</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2023</w:t>
            </w:r>
          </w:p>
        </w:tc>
      </w:tr>
      <w:tr>
        <w:trPr>
          <w:trHeight w:val="414"/>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15"/>
        </w:trPr>
        <w:tc>
          <w:tcPr>
            <w:tcW w:w="2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9" w:name="page30"/>
    <w:bookmarkEnd w:id="2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$1,443,762 on capital expenditures during the six months ended February 29, 2024, which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facility improvements to the warehouse facility NTIC purchased during fiscal 2023 and associated equipment. NTIC expects to spend an aggregate of approximately $1,600,000 to $2,100,000 on capital expenditures during fiscal 2024, which it expects will relate primarily to the installation of new Enterprise Resource Planning (ERP) software system and the purchase of new equipment and facility improvements.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inflation in the United States and abroad historically has had little effect on NTIC, inflationary pressures adversely affected NTIC’s gross margins during the second quarter of fiscal 2024. NTIC believes there is some seasonality in its business. NTIC anticipates its net sales in the second fiscal quarter may be adversely affected by the long Chinese New Year, the North American holiday season and overall less corrosion taking place at lower winter temperatures worldwide.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and bioplastic resins.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outstanding advances under NTIC’s Credit Facility with JPM bear interest at a floating rate, at the option of NTIC, equal to either the CB Floating Rate or the Adjusted SOFR Rate, as defined above. Borrowings of $1,192,645 were outstanding under the Credit Facility as of February 29,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term loans undertaken by NTIC China with China Construction Bank Corporation have an annual interest rate of 3.25% with interest due monthly.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outstanding balance as of February 29, 2024 for both term loans is USD $2,782,686.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included in NTIC’s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August 31, 2023.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anticipated effect of COVID-19 and its acquisition of Zerust India on NTIC’s business, operating results and financial condition, and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0" w:lineRule="exact"/>
        <w:rPr>
          <w:sz w:val="20"/>
          <w:szCs w:val="20"/>
          <w:color w:val="auto"/>
        </w:rPr>
      </w:pPr>
    </w:p>
    <w:p>
      <w:pPr>
        <w:ind w:left="980" w:right="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worldwide disruption in supply issues on NTIC’s business, operating results and financial condition, which will likely continue through fiscal 2024, regardless of the status of COVID-19;</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COVID-19 on NTIC’s business, operating results and financial condition, including in particular in China, and disruption to our customers, suppliers and subcontractors, as well as the global economy and financial markets;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inflation, recessionary indicators and any turmoil and disruption in the global credit, financial and banking markets or the perception of adverse conditions on NTIC’s business and the business of NTIC’s customers, suppliers, vendors and other third parties with whom NTIC conducts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both"/>
        <w:ind w:left="324" w:hanging="324"/>
        <w:spacing w:after="0" w:line="266"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ongoing war between Russia and Ukraine, and the effect of the war and the resulting sanctions by U.S. and European governments on commodity price fluctuations, which have decreased our margins and the margins of our joint ventures and resulted in decreased joint venture profitability, which will likely continue through the end of fiscal 2024;</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ongoing war between Israel and Hamas;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operations in China and the risks associated therewith, including trade or other issues that may result from increasing tensions between the U.S. and China;</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import duties, taxes, and tariffs;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United Kingdom’s process to exit the European Union on NTIC’s operating results, including, in particular, future net sales of NTIC’s European and other joint ventures;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health of the U.S. automotive industry on NTIC’s business and the evolution of the automotive industry towards electric vehicles;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acquisition of the remaining 50% ownership interest in its Indian joint venture, Zerust India;</w:t>
      </w:r>
    </w:p>
    <w:p>
      <w:pPr>
        <w:spacing w:after="0" w:line="22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relationships with its joint ventures and its ability to maintain those relationships, especially in light of anticipated succession planning issues, and risks associated with possible future acquisitions of the remaining ownership interests of certain joint ventures;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 including supply chain disruptions and weather related impacts;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Maturation of certain existing markets for NTIC’s ZERUST® products and services and NTIC’s ability to grow market share and succeed in penetrating other existing and new markets;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especially with respect to NTIC’s ZERUST® products and services, and the effect of such competition on NTIC’s and its joint ventures’ pricing, net sales, and margins;</w:t>
      </w:r>
    </w:p>
    <w:p>
      <w:pPr>
        <w:spacing w:after="0" w:line="16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32" w:name="page33"/>
    <w:bookmarkEnd w:id="32"/>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prices, which may affect sales of NTIC’s ZERUST® products and services to the oil and gas industry, and which may be impacted by the ongoing war between Russia and Ukraine;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 and the need to hire and train local support in a timely manner in order to support customer needs;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maintain effective internal control over financial reporting, especially in light of its joint venture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NTIC’s failure to comply with applicable laws, rules,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and the effect of new accounting pronouncements;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effectively remediate its material weakness and maintain effective internal control over financial reporting;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extreme weather conditions on NTIC’s operating results;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2023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and bioplastic resins.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interest rate risk, any outstanding advances under NTIC’s Credit Facility with JPM bear interest at a floating rate, at the option of NTIC, equal to either the CB Floating Rate or the Adjusted SOFR Rate, as defined above. Borrowings of $1,192,645 were outstanding under the Credit Facility as of February 29, 2024. Both term loans undertaken by NTIC China with China Construction Bank Corporation have an annual interest rate of 3.25% with interest due monthly. The current outstanding balance as of February 29, 2024 for both term loans is USD $2,782,686.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and as a result of the material weakness in NTIC’s internal control over financial reporting discussed below, NTIC’s Chief Executive Officer and Chief Financial Officer concluded that NTIC’s disclosure controls and procedures were not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Reported Material Weakness in Internal Control over Financial Reporting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NTIC did not maintain effective controls over the probability assessment associated with the recognition of income related to employee retention credits (ERCs).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signed into law providing numerous tax provisions and other stimulus measures, including ERCs, which are refundable tax credits against certain employment taxes. The Taxpayer Certainty and Disaster Tax Relief Act of 2020 and the American Rescue Plan Act of 2021 extended and expanded the availability of the ERC.</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NTIC engaged tax advisors of a Big 4 accounting firm which determined NTIC qualified for ERCs. NTIC qualified for ERCs on qualified wages paid in the first and second quarters of 2021 and filed for and recognized income from the ERCs in the second and third quarters of fiscal 2023. In connection with the preparation of its consolidated financial statements for the fiscal year ended August 31, 2023, NTIC concluded that it should have accounted for the ERCs as government grants in accordance with International Accounting Standard (IAS) 20, Accounting for Government Grants and Disclosure of Government Assistance (IAS 20) since U.S. Generally Accepted Accounting Principles (U.S. GAAP) do not provide for the accounting of government grants. Pursuant to IAS 20, NTIC cannot recognize any income from the grant until it is “reasonably assured” that the grant conditions will be met and that the grant will be received, at which time grant income is recorded on a systematic basis over the periods in which NTIC recognizes the payroll expenses for which the grant is intended to compensate. In connection with the preparation of its consolidated financial statements for the fiscal year ended August 31, 2023, NTIC determined that it was not yet reasonably assured that the grant conditions will be met, requiring the restatement of its previously issued consolidated financial statements for the three and six months ended February 28, 2023 and three and nine months ended May 31, 2023. Management determined that this control deficiency constitutes a material weakness in NTIC’s internal control over financial reporting.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NTIC’s management is taking steps to remediate the material weakness in its internal control over financial reporting relating to the proper accounting treatment of the ERCs. These steps include the preparation of a technical accounting memorandum for any material unusual transactions including careful evaluation of any probability assessments or other areas of judgment involved, such as the ERCs, to determine the correct accounting treatment for such transactions. Management believes the additional control procedures designed, and when implemented, will fully remediate the material weakness.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remediation steps discussed above, there was no change in NTIC’s internal control over financial reporting that occurred during the quarter ended February 29, 2024 that has materially affected or is reasonably likely to materially affect NTIC’s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12 to NTIC’s consolidated financial statements in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 xml:space="preserve"> of this report.</w:t>
      </w:r>
    </w:p>
    <w:p>
      <w:pPr>
        <w:spacing w:after="0" w:line="22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February 29, 2024, NTIC did not issue any shares of its common stock or other equity securities of NTIC that were not registered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NTIC’s second quarter of fiscal 2024 stock repurchase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Units) that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Share (or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2023, through December 31, 2023</w:t>
            </w:r>
          </w:p>
        </w:tc>
        <w:tc>
          <w:tcPr>
            <w:tcW w:w="138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2024, through January 31, 2024</w:t>
            </w:r>
          </w:p>
        </w:tc>
        <w:tc>
          <w:tcPr>
            <w:tcW w:w="13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2024, through February 29, 2024</w:t>
            </w:r>
          </w:p>
        </w:tc>
        <w:tc>
          <w:tcPr>
            <w:tcW w:w="138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2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81" w:lineRule="exact"/>
        <w:rPr>
          <w:sz w:val="20"/>
          <w:szCs w:val="20"/>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29, 2024, up to $2,640,548 in shares of NTIC common stock remained available for repurchase under NTIC’s stock repurchase program.</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February 29, 2024, none of our directors or “officers” (as defined in Rule 16a-1(f) under the Exchange Act) adopted or terminated a “Rule 10b5-1 trading arrangement” or “non-Rule 10b5-1 trading arrangement,” as each term is defined in Item 408 of SEC Regulation S-K.</w:t>
      </w:r>
    </w:p>
    <w:p>
      <w:pPr>
        <w:spacing w:after="0" w:line="200" w:lineRule="exact"/>
        <w:rPr>
          <w:sz w:val="20"/>
          <w:szCs w:val="20"/>
          <w:color w:val="auto"/>
        </w:rPr>
      </w:pPr>
    </w:p>
    <w:p>
      <w:pPr>
        <w:spacing w:after="0" w:line="20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gridSpan w:val="10"/>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40" w:type="dxa"/>
            <w:vAlign w:val="bottom"/>
          </w:tcPr>
          <w:p>
            <w:pPr>
              <w:spacing w:after="0"/>
              <w:rPr>
                <w:sz w:val="24"/>
                <w:szCs w:val="24"/>
                <w:color w:val="auto"/>
              </w:rPr>
            </w:pPr>
          </w:p>
        </w:tc>
        <w:tc>
          <w:tcPr>
            <w:tcW w:w="560" w:type="dxa"/>
            <w:vAlign w:val="bottom"/>
            <w:gridSpan w:val="2"/>
          </w:tcPr>
          <w:p>
            <w:pPr>
              <w:jc w:val="center"/>
              <w:ind w:right="240"/>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20" w:type="dxa"/>
            <w:vAlign w:val="bottom"/>
          </w:tcPr>
          <w:p>
            <w:pPr>
              <w:spacing w:after="0"/>
              <w:rPr>
                <w:sz w:val="24"/>
                <w:szCs w:val="24"/>
                <w:color w:val="auto"/>
              </w:rPr>
            </w:pPr>
          </w:p>
        </w:tc>
        <w:tc>
          <w:tcPr>
            <w:tcW w:w="10320" w:type="dxa"/>
            <w:vAlign w:val="bottom"/>
            <w:gridSpan w:val="15"/>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Northern Technologies International Corporation 2024 Stock Incentive Plan (Incorporated by reference to Exhibit 10.1 to NTIC’s Current</w:t>
              </w:r>
            </w:hyperlink>
          </w:p>
        </w:tc>
      </w:tr>
      <w:tr>
        <w:trPr>
          <w:trHeight w:val="196"/>
        </w:trPr>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Report on Form 8-K as filed with the Securities and Exchange Commission on January 19, 2024 (File No. 001-11038))</w:t>
              </w:r>
            </w:hyperlink>
          </w:p>
        </w:tc>
        <w:tc>
          <w:tcPr>
            <w:tcW w:w="1340" w:type="dxa"/>
            <w:vAlign w:val="bottom"/>
            <w:tcBorders>
              <w:top w:val="single" w:sz="8" w:color="0000EE"/>
            </w:tcBorders>
            <w:gridSpan w:val="2"/>
          </w:tcPr>
          <w:p>
            <w:pPr>
              <w:spacing w:after="0"/>
              <w:rPr>
                <w:sz w:val="17"/>
                <w:szCs w:val="17"/>
                <w:color w:val="auto"/>
              </w:rPr>
            </w:pPr>
          </w:p>
        </w:tc>
        <w:tc>
          <w:tcPr>
            <w:tcW w:w="400" w:type="dxa"/>
            <w:vAlign w:val="bottom"/>
            <w:gridSpan w:val="7"/>
          </w:tcPr>
          <w:p>
            <w:pPr>
              <w:spacing w:after="0"/>
              <w:rPr>
                <w:sz w:val="17"/>
                <w:szCs w:val="17"/>
                <w:color w:val="auto"/>
              </w:rPr>
            </w:pPr>
          </w:p>
        </w:tc>
      </w:tr>
      <w:tr>
        <w:trPr>
          <w:trHeight w:val="412"/>
        </w:trPr>
        <w:tc>
          <w:tcPr>
            <w:tcW w:w="240" w:type="dxa"/>
            <w:vAlign w:val="bottom"/>
          </w:tcPr>
          <w:p>
            <w:pPr>
              <w:spacing w:after="0"/>
              <w:rPr>
                <w:sz w:val="24"/>
                <w:szCs w:val="24"/>
                <w:color w:val="auto"/>
              </w:rPr>
            </w:pPr>
          </w:p>
        </w:tc>
        <w:tc>
          <w:tcPr>
            <w:tcW w:w="560" w:type="dxa"/>
            <w:vAlign w:val="bottom"/>
            <w:gridSpan w:val="2"/>
          </w:tcPr>
          <w:p>
            <w:pPr>
              <w:jc w:val="center"/>
              <w:ind w:right="240"/>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120" w:type="dxa"/>
            <w:vAlign w:val="bottom"/>
          </w:tcPr>
          <w:p>
            <w:pPr>
              <w:spacing w:after="0"/>
              <w:rPr>
                <w:sz w:val="24"/>
                <w:szCs w:val="24"/>
                <w:color w:val="auto"/>
              </w:rPr>
            </w:pPr>
          </w:p>
        </w:tc>
        <w:tc>
          <w:tcPr>
            <w:tcW w:w="10320" w:type="dxa"/>
            <w:vAlign w:val="bottom"/>
            <w:gridSpan w:val="15"/>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Form of Incentive Stock Option Agreement for use with the Northern Technologies International Corporation 2024 Stock Incentive Plan</w:t>
              </w:r>
            </w:hyperlink>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9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(Incorporated by reference to Exhibit 10.2 to NTIC’s Current Report on Form 8-K as filed with the Securities and Exchange Commission on</w:t>
              </w:r>
            </w:hyperlink>
          </w:p>
        </w:tc>
        <w:tc>
          <w:tcPr>
            <w:tcW w:w="200" w:type="dxa"/>
            <w:vAlign w:val="bottom"/>
            <w:gridSpan w:val="5"/>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January 19, 2024 (File No. 001-11038))</w:t>
              </w:r>
            </w:hyperlink>
          </w:p>
        </w:tc>
        <w:tc>
          <w:tcPr>
            <w:tcW w:w="7440" w:type="dxa"/>
            <w:vAlign w:val="bottom"/>
            <w:gridSpan w:val="10"/>
          </w:tcPr>
          <w:p>
            <w:pPr>
              <w:spacing w:after="0"/>
              <w:rPr>
                <w:sz w:val="17"/>
                <w:szCs w:val="17"/>
                <w:color w:val="auto"/>
              </w:rPr>
            </w:pPr>
          </w:p>
        </w:tc>
      </w:tr>
      <w:tr>
        <w:trPr>
          <w:trHeight w:val="412"/>
        </w:trPr>
        <w:tc>
          <w:tcPr>
            <w:tcW w:w="240" w:type="dxa"/>
            <w:vAlign w:val="bottom"/>
          </w:tcPr>
          <w:p>
            <w:pPr>
              <w:spacing w:after="0"/>
              <w:rPr>
                <w:sz w:val="24"/>
                <w:szCs w:val="24"/>
                <w:color w:val="auto"/>
              </w:rPr>
            </w:pPr>
          </w:p>
        </w:tc>
        <w:tc>
          <w:tcPr>
            <w:tcW w:w="560" w:type="dxa"/>
            <w:vAlign w:val="bottom"/>
            <w:gridSpan w:val="2"/>
          </w:tcPr>
          <w:p>
            <w:pPr>
              <w:jc w:val="center"/>
              <w:ind w:right="240"/>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120" w:type="dxa"/>
            <w:vAlign w:val="bottom"/>
          </w:tcPr>
          <w:p>
            <w:pPr>
              <w:spacing w:after="0"/>
              <w:rPr>
                <w:sz w:val="24"/>
                <w:szCs w:val="24"/>
                <w:color w:val="auto"/>
              </w:rPr>
            </w:pPr>
          </w:p>
        </w:tc>
        <w:tc>
          <w:tcPr>
            <w:tcW w:w="10320" w:type="dxa"/>
            <w:vAlign w:val="bottom"/>
            <w:gridSpan w:val="15"/>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Form of Non-Statutory Stock Option Agreement for use with the Northern Technologies International Corporation 2024 Stock Incentive Plan</w:t>
              </w:r>
            </w:hyperlink>
          </w:p>
        </w:tc>
      </w:tr>
      <w:tr>
        <w:trPr>
          <w:trHeight w:val="196"/>
        </w:trPr>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(Incorporated by reference to Exhibit 10.3 to NTIC’s Current Report on Form 8-K as filed with the Securities and Exchange Commission on</w:t>
              </w:r>
            </w:hyperlink>
          </w:p>
        </w:tc>
        <w:tc>
          <w:tcPr>
            <w:tcW w:w="60" w:type="dxa"/>
            <w:vAlign w:val="bottom"/>
            <w:tcBorders>
              <w:top w:val="single" w:sz="8" w:color="0000EE"/>
            </w:tcBorders>
            <w:gridSpan w:val="2"/>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January 19, 2024 (File No. 001-11038))</w:t>
              </w:r>
            </w:hyperlink>
          </w:p>
        </w:tc>
        <w:tc>
          <w:tcPr>
            <w:tcW w:w="7440" w:type="dxa"/>
            <w:vAlign w:val="bottom"/>
            <w:gridSpan w:val="10"/>
          </w:tcPr>
          <w:p>
            <w:pPr>
              <w:spacing w:after="0"/>
              <w:rPr>
                <w:sz w:val="17"/>
                <w:szCs w:val="17"/>
                <w:color w:val="auto"/>
              </w:rPr>
            </w:pPr>
          </w:p>
        </w:tc>
      </w:tr>
      <w:tr>
        <w:trPr>
          <w:trHeight w:val="412"/>
        </w:trPr>
        <w:tc>
          <w:tcPr>
            <w:tcW w:w="240" w:type="dxa"/>
            <w:vAlign w:val="bottom"/>
          </w:tcPr>
          <w:p>
            <w:pPr>
              <w:spacing w:after="0"/>
              <w:rPr>
                <w:sz w:val="24"/>
                <w:szCs w:val="24"/>
                <w:color w:val="auto"/>
              </w:rPr>
            </w:pPr>
          </w:p>
        </w:tc>
        <w:tc>
          <w:tcPr>
            <w:tcW w:w="560" w:type="dxa"/>
            <w:vAlign w:val="bottom"/>
            <w:gridSpan w:val="2"/>
          </w:tcPr>
          <w:p>
            <w:pPr>
              <w:jc w:val="center"/>
              <w:ind w:right="240"/>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120" w:type="dxa"/>
            <w:vAlign w:val="bottom"/>
          </w:tcPr>
          <w:p>
            <w:pPr>
              <w:spacing w:after="0"/>
              <w:rPr>
                <w:sz w:val="24"/>
                <w:szCs w:val="24"/>
                <w:color w:val="auto"/>
              </w:rPr>
            </w:pPr>
          </w:p>
        </w:tc>
        <w:tc>
          <w:tcPr>
            <w:tcW w:w="10320" w:type="dxa"/>
            <w:vAlign w:val="bottom"/>
            <w:gridSpan w:val="15"/>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Form of Restricted Stock Unit Award Agreement for use with the Northern Technologies International Corporation 2024 Stock Incentive Plan</w:t>
              </w:r>
            </w:hyperlink>
          </w:p>
        </w:tc>
      </w:tr>
      <w:tr>
        <w:trPr>
          <w:trHeight w:val="196"/>
        </w:trPr>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(Incorporated by reference to Exhibit 10.4 to NTIC’s Current Report on Form 8-K as filed with the Securities and Exchange Commission on</w:t>
              </w:r>
            </w:hyperlink>
          </w:p>
        </w:tc>
        <w:tc>
          <w:tcPr>
            <w:tcW w:w="100" w:type="dxa"/>
            <w:vAlign w:val="bottom"/>
            <w:tcBorders>
              <w:top w:val="single" w:sz="8" w:color="0000EE"/>
            </w:tcBorders>
            <w:gridSpan w:val="3"/>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January 19, 2024 (File No. 001-11038))</w:t>
              </w:r>
            </w:hyperlink>
          </w:p>
        </w:tc>
        <w:tc>
          <w:tcPr>
            <w:tcW w:w="7440" w:type="dxa"/>
            <w:vAlign w:val="bottom"/>
            <w:gridSpan w:val="10"/>
          </w:tcPr>
          <w:p>
            <w:pPr>
              <w:spacing w:after="0"/>
              <w:rPr>
                <w:sz w:val="17"/>
                <w:szCs w:val="17"/>
                <w:color w:val="auto"/>
              </w:rPr>
            </w:pPr>
          </w:p>
        </w:tc>
      </w:tr>
      <w:tr>
        <w:trPr>
          <w:trHeight w:val="412"/>
        </w:trPr>
        <w:tc>
          <w:tcPr>
            <w:tcW w:w="240" w:type="dxa"/>
            <w:vAlign w:val="bottom"/>
          </w:tcPr>
          <w:p>
            <w:pPr>
              <w:spacing w:after="0"/>
              <w:rPr>
                <w:sz w:val="24"/>
                <w:szCs w:val="24"/>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103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President and Chief Executive Officer pursuant to SEC Rule 13a-14(a), as adopted pursuant to Section 302 of the Sarbanes-</w:t>
            </w:r>
          </w:p>
        </w:tc>
      </w:tr>
      <w:tr>
        <w:trPr>
          <w:trHeight w:val="196"/>
        </w:trPr>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(filed herewith)</w:t>
            </w:r>
          </w:p>
        </w:tc>
        <w:tc>
          <w:tcPr>
            <w:tcW w:w="260" w:type="dxa"/>
            <w:vAlign w:val="bottom"/>
            <w:gridSpan w:val="6"/>
          </w:tcPr>
          <w:p>
            <w:pPr>
              <w:spacing w:after="0"/>
              <w:rPr>
                <w:sz w:val="17"/>
                <w:szCs w:val="17"/>
                <w:color w:val="auto"/>
              </w:rPr>
            </w:pPr>
          </w:p>
        </w:tc>
      </w:tr>
      <w:tr>
        <w:trPr>
          <w:trHeight w:val="20"/>
        </w:trPr>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120" w:type="dxa"/>
            <w:vAlign w:val="bottom"/>
          </w:tcPr>
          <w:p>
            <w:pPr>
              <w:spacing w:after="0"/>
              <w:rPr>
                <w:sz w:val="24"/>
                <w:szCs w:val="24"/>
                <w:color w:val="auto"/>
              </w:rPr>
            </w:pPr>
          </w:p>
        </w:tc>
        <w:tc>
          <w:tcPr>
            <w:tcW w:w="103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 Rule 13a-14(a), as adopted pursuant to Section 302 of the Sarbanes-Oxley Act of</w:t>
            </w:r>
          </w:p>
        </w:tc>
      </w:tr>
      <w:tr>
        <w:trPr>
          <w:trHeight w:val="196"/>
        </w:trPr>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2002 (filed herewith)</w:t>
            </w:r>
          </w:p>
        </w:tc>
        <w:tc>
          <w:tcPr>
            <w:tcW w:w="400" w:type="dxa"/>
            <w:vAlign w:val="bottom"/>
            <w:gridSpan w:val="7"/>
          </w:tcPr>
          <w:p>
            <w:pPr>
              <w:spacing w:after="0"/>
              <w:rPr>
                <w:sz w:val="17"/>
                <w:szCs w:val="17"/>
                <w:color w:val="auto"/>
              </w:rPr>
            </w:pPr>
          </w:p>
        </w:tc>
      </w:tr>
      <w:tr>
        <w:trPr>
          <w:trHeight w:val="20"/>
        </w:trPr>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30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103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of President and Chief Executive Officer pursuant to 18 U.S.C. Section 1350, as adopted pursuant to Section 906 of the Sarbanes-</w:t>
            </w:r>
          </w:p>
        </w:tc>
      </w:tr>
      <w:tr>
        <w:trPr>
          <w:trHeight w:val="196"/>
        </w:trPr>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 (furnished herewith)</w:t>
            </w:r>
          </w:p>
        </w:tc>
        <w:tc>
          <w:tcPr>
            <w:tcW w:w="744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40" w:type="dxa"/>
            <w:vAlign w:val="bottom"/>
          </w:tcPr>
          <w:p>
            <w:pPr>
              <w:spacing w:after="0"/>
              <w:rPr>
                <w:sz w:val="24"/>
                <w:szCs w:val="24"/>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120" w:type="dxa"/>
            <w:vAlign w:val="bottom"/>
          </w:tcPr>
          <w:p>
            <w:pPr>
              <w:spacing w:after="0"/>
              <w:rPr>
                <w:sz w:val="24"/>
                <w:szCs w:val="24"/>
                <w:color w:val="auto"/>
              </w:rPr>
            </w:pPr>
          </w:p>
        </w:tc>
        <w:tc>
          <w:tcPr>
            <w:tcW w:w="103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 of</w:t>
            </w:r>
          </w:p>
        </w:tc>
      </w:tr>
      <w:tr>
        <w:trPr>
          <w:trHeight w:val="196"/>
        </w:trPr>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2002 (furnished herewith)</w:t>
            </w:r>
          </w:p>
        </w:tc>
        <w:tc>
          <w:tcPr>
            <w:tcW w:w="8280" w:type="dxa"/>
            <w:vAlign w:val="bottom"/>
            <w:tcBorders>
              <w:top w:val="single" w:sz="8" w:color="0000EE"/>
            </w:tcBorders>
            <w:gridSpan w:val="9"/>
          </w:tcPr>
          <w:p>
            <w:pPr>
              <w:spacing w:after="0"/>
              <w:rPr>
                <w:sz w:val="17"/>
                <w:szCs w:val="17"/>
                <w:color w:val="auto"/>
              </w:rPr>
            </w:pPr>
          </w:p>
        </w:tc>
        <w:tc>
          <w:tcPr>
            <w:tcW w:w="160" w:type="dxa"/>
            <w:vAlign w:val="bottom"/>
            <w:gridSpan w:val="4"/>
          </w:tcPr>
          <w:p>
            <w:pPr>
              <w:spacing w:after="0"/>
              <w:rPr>
                <w:sz w:val="17"/>
                <w:szCs w:val="17"/>
                <w:color w:val="auto"/>
              </w:rPr>
            </w:pPr>
          </w:p>
        </w:tc>
      </w:tr>
    </w:tbl>
    <w:p>
      <w:pPr>
        <w:spacing w:after="0" w:line="225" w:lineRule="exact"/>
        <w:rPr>
          <w:sz w:val="20"/>
          <w:szCs w:val="20"/>
          <w:color w:val="auto"/>
        </w:rPr>
      </w:pPr>
    </w:p>
    <w:p>
      <w:pPr>
        <w:ind w:left="920" w:right="140" w:hanging="649"/>
        <w:spacing w:after="0" w:line="272"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NTIC’s Quarterly Report on Form 10-Q for the fiscal quarter ended February 29, 2024, formatted in Inline XBRL (Extensible Business Reporting Language): (i) the unaudited Consolidated Balance Sheets, (ii) the unaudited Consolidated Statements of Operations, (iii) the unaudited Consolidated Statements of Comprehensive Income, (iv) the unaudited Consolidated Statements of Equity,</w:t>
      </w:r>
    </w:p>
    <w:p>
      <w:pPr>
        <w:spacing w:after="0" w:line="1"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the unaudited Consolidated Statements of Cash Flows, and (vi) Notes to Consolidated Financial Statements (filed herewith)</w:t>
      </w:r>
    </w:p>
    <w:p>
      <w:pPr>
        <w:spacing w:after="0" w:line="207" w:lineRule="exact"/>
        <w:rPr>
          <w:sz w:val="20"/>
          <w:szCs w:val="20"/>
          <w:color w:val="auto"/>
        </w:rPr>
      </w:pPr>
    </w:p>
    <w:p>
      <w:pPr>
        <w:ind w:left="5540" w:right="3800" w:hanging="5269"/>
        <w:spacing w:after="0" w:line="532" w:lineRule="auto"/>
        <w:tabs>
          <w:tab w:leader="none" w:pos="9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8" w:name="page39"/>
    <w:bookmarkEnd w:id="38"/>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NORTHERN TECHNOLOGIES INTERNATIONAL</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right="2820" w:hanging="6182"/>
        <w:spacing w:after="0" w:line="273" w:lineRule="auto"/>
        <w:tabs>
          <w:tab w:leader="none" w:pos="6180" w:val="left"/>
        </w:tabs>
        <w:rPr>
          <w:sz w:val="20"/>
          <w:szCs w:val="20"/>
          <w:color w:val="auto"/>
        </w:rPr>
      </w:pPr>
      <w:r>
        <w:rPr>
          <w:rFonts w:ascii="Times New Roman" w:cs="Times New Roman" w:eastAsia="Times New Roman" w:hAnsi="Times New Roman"/>
          <w:sz w:val="18"/>
          <w:szCs w:val="18"/>
          <w:color w:val="auto"/>
        </w:rPr>
        <w:t>Date: April 11, 2024</w:t>
      </w:r>
      <w:r>
        <w:rPr>
          <w:sz w:val="20"/>
          <w:szCs w:val="20"/>
          <w:color w:val="auto"/>
        </w:rPr>
        <w:tab/>
      </w:r>
      <w:r>
        <w:rPr>
          <w:rFonts w:ascii="Times New Roman" w:cs="Times New Roman" w:eastAsia="Times New Roman" w:hAnsi="Times New Roman"/>
          <w:sz w:val="17"/>
          <w:szCs w:val="17"/>
          <w:color w:val="auto"/>
        </w:rPr>
        <w:t>Matthew C. Wolsfeld, CPA Chief Financial Officer</w:t>
      </w:r>
    </w:p>
    <w:p>
      <w:pPr>
        <w:spacing w:after="0" w:line="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320" w:top="576" w:right="5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11,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Patrick Lynch</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 Patrick Lynch</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11,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C. Wolsfeld</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C. Wolsfeld, CPA</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41" w:name="page42"/>
    <w:bookmarkEnd w:id="41"/>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February 29, 2024,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 Patrick Lynch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2024</w:t>
      </w:r>
    </w:p>
    <w:p>
      <w:pPr>
        <w:sectPr>
          <w:pgSz w:w="11900" w:h="16838" w:orient="portrait"/>
          <w:cols w:equalWidth="0" w:num="1">
            <w:col w:w="11240"/>
          </w:cols>
          <w:pgMar w:left="320" w:top="117" w:right="339" w:bottom="1440" w:gutter="0" w:footer="0" w:header="0"/>
        </w:sectPr>
      </w:pPr>
    </w:p>
    <w:bookmarkStart w:id="42" w:name="page43"/>
    <w:bookmarkEnd w:id="42"/>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February 29, 2024,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Matthew C. Wolsfeld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5"/>
    </w:lvl>
  </w:abstractNum>
  <w:abstractNum w:abstractNumId="6">
    <w:nsid w:val="25E45D32"/>
    <w:multiLevelType w:val="hybridMultilevel"/>
    <w:lvl w:ilvl="0">
      <w:lvlJc w:val="left"/>
      <w:lvlText w:val="%1."/>
      <w:numFmt w:val="decimal"/>
      <w:start w:val="6"/>
    </w:lvl>
  </w:abstractNum>
  <w:abstractNum w:abstractNumId="7">
    <w:nsid w:val="519B500D"/>
    <w:multiLevelType w:val="hybridMultilevel"/>
    <w:lvl w:ilvl="0">
      <w:lvlJc w:val="left"/>
      <w:lvlText w:val="%1."/>
      <w:numFmt w:val="decimal"/>
      <w:start w:val="7"/>
    </w:lvl>
  </w:abstractNum>
  <w:abstractNum w:abstractNumId="8">
    <w:nsid w:val="431BD7B7"/>
    <w:multiLevelType w:val="hybridMultilevel"/>
    <w:lvl w:ilvl="0">
      <w:lvlJc w:val="left"/>
      <w:lvlText w:val="%1."/>
      <w:numFmt w:val="decimal"/>
      <w:start w:val="8"/>
    </w:lvl>
  </w:abstractNum>
  <w:abstractNum w:abstractNumId="9">
    <w:nsid w:val="3F2DBA31"/>
    <w:multiLevelType w:val="hybridMultilevel"/>
    <w:lvl w:ilvl="0">
      <w:lvlJc w:val="left"/>
      <w:lvlText w:val="%1."/>
      <w:numFmt w:val="decimal"/>
      <w:start w:val="9"/>
    </w:lvl>
  </w:abstractNum>
  <w:abstractNum w:abstractNumId="10">
    <w:nsid w:val="7C83E458"/>
    <w:multiLevelType w:val="hybridMultilevel"/>
    <w:lvl w:ilvl="0">
      <w:lvlJc w:val="left"/>
      <w:lvlText w:val="%1."/>
      <w:numFmt w:val="decimal"/>
      <w:start w:val="10"/>
    </w:lvl>
  </w:abstractNum>
  <w:abstractNum w:abstractNumId="11">
    <w:nsid w:val="257130A3"/>
    <w:multiLevelType w:val="hybridMultilevel"/>
    <w:lvl w:ilvl="0">
      <w:lvlJc w:val="left"/>
      <w:lvlText w:val="%1."/>
      <w:numFmt w:val="decimal"/>
      <w:start w:val="1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2"/>
    </w:lvl>
  </w:abstractNum>
  <w:abstractNum w:abstractNumId="14">
    <w:nsid w:val="628C895D"/>
    <w:multiLevelType w:val="hybridMultilevel"/>
    <w:lvl w:ilvl="0">
      <w:lvlJc w:val="left"/>
      <w:lvlText w:val="%1."/>
      <w:numFmt w:val="decimal"/>
      <w:start w:val="14"/>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01"/>
    </w:lvl>
  </w:abstractNum>
  <w:abstractNum w:abstractNumId="22">
    <w:nsid w:val="79838CB2"/>
    <w:multiLevelType w:val="hybridMultilevel"/>
    <w:lvl w:ilvl="0">
      <w:lvlJc w:val="left"/>
      <w:lvlText w:val="%1"/>
      <w:numFmt w:val="decimal"/>
      <w:start w:val="104"/>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1" Type="http://schemas.openxmlformats.org/officeDocument/2006/relationships/hyperlink" Target="http://www.sec.gov/Archives/edgar/data/875582/000117184324000312/exh_101.htm" TargetMode="External"/><Relationship Id="rId52" Type="http://schemas.openxmlformats.org/officeDocument/2006/relationships/hyperlink" Target="http://www.sec.gov/Archives/edgar/data/875582/000117184324000312/exh_102.htm" TargetMode="External"/><Relationship Id="rId53" Type="http://schemas.openxmlformats.org/officeDocument/2006/relationships/hyperlink" Target="http://www.sec.gov/Archives/edgar/data/875582/000117184324000312/exh_103.htm" TargetMode="External"/><Relationship Id="rId54" Type="http://schemas.openxmlformats.org/officeDocument/2006/relationships/hyperlink" Target="http://www.sec.gov/Archives/edgar/data/875582/000117184324000312/exh_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2024-04-11T07:10:40Z</dcterms:created>
  <dcterms:modified xsi:type="dcterms:W3CDTF">2024-04-11T07:10:40Z</dcterms:modified>
</cp:coreProperties>
</file>